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ATA/771/2020 vom 18. August 2020</w:t>
      </w:r>
    </w:p>
    <w:p>
      <w:r>
        <w:t>GE Cour de justice, 2020-08-18, FR</w:t>
      </w:r>
    </w:p>
    <w:p>
      <w:r>
        <w:rPr>
          <w:b/>
        </w:rPr>
        <w:t xml:space="preserve">Quelle: </w:t>
      </w:r>
      <w:r>
        <w:t>https://mcp.opencaselaw.ch/entscheid/ge_gerichte_ATA_771_2020</w:t>
      </w:r>
    </w:p>
    <w:p>
      <w:r>
        <w:t>FR: GE_GERICHTE ATA/771/2020 du 18 août 2020</w:t>
      </w:r>
    </w:p>
    <w:p>
      <w:r>
        <w:t>IT: GE_GERICHTE ATA/771/2020 del 18 agosto 2020</w:t>
      </w:r>
    </w:p>
    <w:p>
      <w:pPr>
        <w:pStyle w:val="Heading2"/>
      </w:pPr>
      <w:r>
        <w:t>Erwägungen</w:t>
      </w:r>
    </w:p>
    <w:p>
      <w:r>
        <w:rPr>
          <w:b/>
        </w:rPr>
        <w:t>E. 12</w:t>
      </w:r>
    </w:p>
    <w:p>
      <w:r>
        <w:t>septembre 1985 - LPA - E 5 10). 2)</w:t>
      </w:r>
    </w:p>
    <w:p>
      <w:r>
        <w:t>Le litige porte sur le bien-fondé de la décision de l’OCLPF du 29 janvier 2020, par laquelle il a partiellement admis la réclamation et réduit la somme due à CHF 7'941.90 correspondant aux allocations indûment perçues pour la période du 1er février 2017 au 31 janvier 2019. 3) a. Les catégories d’immeubles admises au bénéfice de la loi générale sur le logement et la protection des locataires du 4 décembre 1977 (LGL - I 4 05) sont (art. 16 al. 1 LGL) :</w:t>
      </w:r>
    </w:p>
    <w:p>
      <w:r>
        <w:t>a) catégorie 1, immeubles d’habitation bon marché (HBM);</w:t>
      </w:r>
    </w:p>
    <w:p>
      <w:r>
        <w:t>b) catégorie 2, immeubles d’habitation à loyers modérés (HLM);</w:t>
      </w:r>
    </w:p>
    <w:p>
      <w:r>
        <w:t>d) catégorie 4, immeubles d’habitation mixte (HM), comprenant des logements avec subvention proportionnelle aux revenus des locataires et des logements sans subvention.</w:t>
      </w:r>
    </w:p>
    <w:p>
      <w:r>
        <w:t>L’accès à un logement dans l’une ou l’autre des catégories indiquées à l’alinéa 1 est déterminé en fonction des conditions relatives aux locataires définies aux art. 30 et ss (art. 16 al. 2 LGL).</w:t>
      </w:r>
    </w:p>
    <w:p>
      <w:r>
        <w:t>Aux termes de l’art. 23B LGL, le Conseil d’État autorise, pour les immeubles de la catégorie 4, une subvention personnalisée au logement aux locataires respectant les conditions fixées à l’art. 30 LGL, pour une durée ne pouvant excéder vingt-cinq ans, à compter de la mise en exploitation de l’immeuble. Cette subvention personnalisée s’élève au maximum à CHF 1'700.- la pièce par an, pendant une période de vingt ans à compter de la mise en exploitation de l’immeuble (al. 2 1ère phr.)</w:t>
      </w:r>
    </w:p>
    <w:p>
      <w:r>
        <w:t>Dans les immeubles de catégorie 4, les 60 % au moins des logements sont destinés, lors de la première location, à des locataires pouvant bénéficier d’une subvention personnalisée au sens de l’art. 30A ; en cas de relocation, la priorité doit être donnée à un locataire respectant les conditions fixées à l’art. 30A, si les 60% au moins des logements ne sont plus occupés par des locataires bénéficiant d’une subvention personnalisée (art. 30 al. 1 2ème phr).</w:t>
      </w:r>
    </w:p>
    <w:p>
      <w:r>
        <w:t>- 7/10 - A/700/2020</w:t>
      </w:r>
    </w:p>
    <w:p>
      <w:r>
        <w:t>b.</w:t>
      </w:r>
    </w:p>
    <w:p>
      <w:r>
        <w:t>Selon l’art. 30A al. 1 LGL, la subvention personnalisée au logement est accordée aux locataires proportionnellement à leur revenu, afin de ramener leur taux d’effort au niveau de ceux fixés à l’art. 30 LGL.</w:t>
      </w:r>
    </w:p>
    <w:p>
      <w:r>
        <w:t>Le taux d’effort est le pourcentage minimum du revenu déterminant à consacrer au loyer (art. 31C al. 1 let. d LGL).</w:t>
      </w:r>
    </w:p>
    <w:p>
      <w:r>
        <w:t>Aux termes de l’art. 30 al. 3 LGL, les taux d’effort sont les suivants :</w:t>
      </w:r>
    </w:p>
    <w:p>
      <w:r>
        <w:t>a) pour l’occupation d’un logement d’une pièce de plus que le nombre de personnes : 21%</w:t>
      </w:r>
    </w:p>
    <w:p>
      <w:r>
        <w:t>b) pour une occupation supérieure à celle visée à la let. a : 19%</w:t>
      </w:r>
    </w:p>
    <w:p>
      <w:r>
        <w:t>c) pour une occupation inférieure à celle visée à la let. a : 23%</w:t>
      </w:r>
    </w:p>
    <w:p>
      <w:r>
        <w:t>d) en cas de sous-occupation au sens de l’art. 31C LGL : 29%</w:t>
      </w:r>
    </w:p>
    <w:p>
      <w:r>
        <w:t>La subvention personnalisée n’est pas versée lorsque son montant annuel n’atteint pas CHF 300.- par pièce (art. 20B al. 2 du règlement d'exécution de la loi générale sur le logement et la protection des locataires du 24 août 1992 - RGL - I 4 05.01).</w:t>
      </w:r>
    </w:p>
    <w:p>
      <w:r>
        <w:t>c. La période d’application de la subvention personnalisée s’étend du 1er avril de chaque année au 31 mars de l’année suivante (art. 20D al. 1 RGL)</w:t>
      </w:r>
    </w:p>
    <w:p>
      <w:r>
        <w:t>En cas de modification du loyer autorisé durant la période d’application, la nouvelle subvention personnalisée est calculée et prend effet le premier jour du mois où le nouveau loyer est exigible (art. 20D al. 4 RGL).</w:t>
      </w:r>
    </w:p>
    <w:p>
      <w:r>
        <w:t>d. Il appartient au locataire de justifier sans délai au service compétent toute modification significative de revenu ainsi que tout changement dans la composition du groupe de personnes occupant le logement, survenant en cours de bail (art. 9 al. 2 RGL).</w:t>
      </w:r>
    </w:p>
    <w:p>
      <w:r>
        <w:t>En cours de bail, à défaut d'annonce de modification de situation par le locataire, le service compétent peut tenir compte des revenus pris en considération pour l'impôt des années précédentes (art. 9 al. 3 RGL).</w:t>
      </w:r>
    </w:p>
    <w:p>
      <w:r>
        <w:t>Il appartient aux administrés de tenir au courant le service compétent de toute modification de leur situation et ils ne peuvent déduire aucun droit de l’absence de contrôle de leur situation par le service concerné (ATA/634/2017 du 6 juin 2017 consid. 7).</w:t>
      </w:r>
    </w:p>
    <w:p>
      <w:r>
        <w:t>e. Selon la pratique administrative de l’OCLPF - PA/L/005.02 - sur la modification significative de revenus entrainant un examen rétroactif du droit aux prestations, l’État doit verser des prestations (allocations, subventions) ou</w:t>
      </w:r>
    </w:p>
    <w:p>
      <w:r>
        <w:t>- 8/10 - A/700/2020 réclamer des surtaxes sur la base des revenus réels des locataires, auxquels il appartient d’annoncer les changements de situation, l'OCLPF n’en ayant connaissance (revenus) que deux ans après leur modification. Cas échéant, les locataires concernés peuvent faire l’objet de décisions rétroactives, lorsqu’un changement significatif n’a pas été annoncé, selon le principe de l’égalité de traitement.</w:t>
      </w:r>
    </w:p>
    <w:p>
      <w:r>
        <w:t>Par significative, il faut entendre toute augmentation de revenu annuelle supérieure à CHF 10'000.-. Dans ce cas, l’OCLP procèdera à des décisions rétroactives. Les changements de revenus inférieurs à ce montant sont considérés comme non significatifs et ne font pas l’objet de décisions rétroactives.</w:t>
      </w:r>
    </w:p>
    <w:p>
      <w:r>
        <w:t>f. Le locataire ayant reçu indûment une subvention personnalisée doit la restituer dans les trente jours dès la notification de la décision du service compétent (art. 20H RGL)</w:t>
      </w:r>
    </w:p>
    <w:p>
      <w:r>
        <w:t>Le service compétent peut requérir du locataire la restitution de surtaxes impayées ou de prestations indûment touchées dans un délai de cinq ans (art. 34C RGL).</w:t>
      </w:r>
    </w:p>
    <w:p>
      <w:r>
        <w:t>g. Aux termes de l’art. 31C al. 1 let. a LGL, par revenu il faut entendre le revenu déterminant résultant de la loi sur le revenu déterminant le droit aux prestations sociales cantonales, du 19 mai 2005 (LRDU - J 4 06) du titulaire du bail, additionné à celui des autres personnes occupant le logement, dont à déduire une somme de CHF 10’000.- pour la première personne, de CHF 7'500.- pour la deuxième personne et de CHF 5'000.- par personne dès la troisième personne occupant le logement. 4)</w:t>
      </w:r>
    </w:p>
    <w:p>
      <w:r>
        <w:t>En l’espèce, les montants des RDU retenus par l’autorité intimée ne sont pas contestés et aucun élément au dossier ne permet de les remettre en cause.</w:t>
      </w:r>
    </w:p>
    <w:p>
      <w:r>
        <w:t>De même, les calculs effectués pour déterminer la subvention personnalisée sont corrects et il en ressort que le loyer théorique (de CHF 20'767, représentant le 23% des revenus déterminants LGL des locataires, en CHF 90'291.-, ceux-ci ayant déterminés en fonction des revenus bruts perçus par les locataires de, respectivement, CHF 54'075.- et CHF 67'600.- et du revenu LRDU de 107'791.-) est supérieur au loyer effectif (CHF 19'416.-) pour les périodes allant du 1er février 2017 au 31 janvier 2018 et du 1er au 31 janvier 2019.</w:t>
      </w:r>
    </w:p>
    <w:p>
      <w:r>
        <w:t>Pour la période du 1er février 2018 au 31 décembre 2018, le loyer effectif se monte à CHF 19'416.- et le loyer théorique à CHF 18'512.- (23% de CHF 80'488.- de revenus déterminants LGL fixés en fonction de revenus bruts perçus de 116'422.- et du revenu LRDU en CHF 97'988.-). La subvention devant être versée se montant à CHF 904.-, elle a correctement été réduite à CHF 0.- dès lors que la subvention minimale pour un appartement de quatre pièces est de</w:t>
      </w:r>
    </w:p>
    <w:p>
      <w:r>
        <w:t>- 9/10 - A/700/2020 CHF 1'200.- (art. 20B al. 2 RGL). En effet, conformément à cette disposition, la subvention personnalisée n’est pas versée lorsque son montant annuel n’atteint pas CHF 300.- par pièce.</w:t>
      </w:r>
    </w:p>
    <w:p>
      <w:r>
        <w:t>Pour ces motifs, c’est conformément au droit que l’autorité intimée a retenu que le recourant n’avait pas droit au versement d’une subvention personnalisée durant les périodes concernées.</w:t>
      </w:r>
    </w:p>
    <w:p>
      <w:r>
        <w:t>La demande de remboursement est ainsi fondée. 5)</w:t>
      </w:r>
    </w:p>
    <w:p>
      <w:r>
        <w:t>En n’informant pas régulièrement l’autorité intimée des changements dans ses revenus, le recourant n’a pas respecté son devoir légal d’information. Ses explications selon lesquelles il pensait que c’était l’OCLPF qui contrôlait son revenu sur la base de sa déclaration d’impôt et qu’il ignorait devoir lui-même annoncer les changements le concernant ne peuvent être considérées comme convaincantes pour justifier un tel manquement, ce d’autant plus que ledit devoir, et ses conséquences en cas de violation, sont dûment rappelés, en gras, et mis en évidence dans un cadre idoine, au verso de chaque décision d’octroi.</w:t>
      </w:r>
    </w:p>
    <w:p>
      <w:r>
        <w:t>Comme rappelé par la chambre de céans (ATA/1036/2019 du 18 juin 2019 consid. 6b), il appartient aux administrés de tenir au courant le service compétent de toute modification de leur situation et ils ne peuvent déduire aucun droit de l’absence de contrôle de leur situation par le service concerné.</w:t>
      </w:r>
    </w:p>
    <w:p>
      <w:r>
        <w:t>L’autorité intimée est en conséquence en droit de réclamer le montant perçu sans droit par le recourant. 6)</w:t>
      </w:r>
    </w:p>
    <w:p>
      <w:r>
        <w:t>Enfin, le recourant peut adresser à l’autorité compétente une demande de remise, conformément à l’art. 34B RGL.</w:t>
      </w:r>
    </w:p>
    <w:p>
      <w:r>
        <w:t>Cette décision pourra ensuite le cas échéant faire l’objet d’un recours auprès de la juridiction de céans, étant précisé que de jurisprudence constante, une remise au sens de l’art. 34B RGL n’est envisageable que pour autant que la somme due ne procède pas d’une violation du devoir d’information (ATA/396/2020 du 23 avril 2020).</w:t>
      </w:r>
    </w:p>
    <w:p>
      <w:r>
        <w:t>Mal fondé, le recours sera rejeté. 7)</w:t>
      </w:r>
    </w:p>
    <w:p>
      <w:r>
        <w:t>Vu la nature du litige, il ne sera pas perçu d'émolument (art. 87 al. 1 LPA et art. 11 du règlement sur les frais, émoluments et indemnités en procédure administrative du 30 juillet 1986 - RFPA - E 5 10.03). Vu son issue, il ne sera pas alloué d'indemnité de procédure (art. 87 al. 2 LPA).</w:t>
      </w:r>
    </w:p>
    <w:p>
      <w:r>
        <w:t>* * * * *</w:t>
      </w:r>
    </w:p>
    <w:p>
      <w:r>
        <w:t>- 10/10 - A/700/2020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