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ATA/76/2017 vom 31. Januar 2017</w:t>
      </w:r>
    </w:p>
    <w:p>
      <w:r>
        <w:t>GE Cour de justice, 2017-01-31, FR</w:t>
      </w:r>
    </w:p>
    <w:p>
      <w:r>
        <w:rPr>
          <w:b/>
        </w:rPr>
        <w:t xml:space="preserve">Quelle: </w:t>
      </w:r>
      <w:r>
        <w:t>https://mcp.opencaselaw.ch/entscheid/ge_gerichte_ATA_76_2017</w:t>
      </w:r>
    </w:p>
    <w:p>
      <w:r>
        <w:t>FR: GE_GERICHTE ATA/76/2017 du 31 janvier 2017</w:t>
      </w:r>
    </w:p>
    <w:p>
      <w:r>
        <w:t>IT: GE_GERICHTE ATA/76/2017 del 31 gennaio 2017</w:t>
      </w:r>
    </w:p>
    <w:p>
      <w:pPr>
        <w:pStyle w:val="Heading2"/>
      </w:pPr>
      <w:r>
        <w:t>Erwägungen</w:t>
      </w:r>
    </w:p>
    <w:p>
      <w:r>
        <w:rPr>
          <w:b/>
        </w:rPr>
        <w:t>E. 1</w:t>
      </w:r>
    </w:p>
    <w:p>
      <w:r>
        <w:t>Selon l’art. 132 al. 2 de la loi sur l'organisation judiciaire du 26 septembre 2010 (LOJ - E 2 05), le recours à la chambre administrative est ouvert contre les décisions au sens des art. 4, 4A et 57 de la loi sur la procédure administrative du 12 septembre 1985 (LPA - E 5 10) prises par des autorités ou des juridictions administratives visées aux art. 5, respectivement 6 al. 1 let. a à e LPA. Sont réservées les exceptions prévues par la loi.</w:t>
      </w:r>
    </w:p>
    <w:p>
      <w:r>
        <w:rPr>
          <w:b/>
        </w:rPr>
        <w:t>E. 2</w:t>
      </w:r>
    </w:p>
    <w:p>
      <w:r>
        <w:t>La recourante considère que le courrier de l’intimé du 28 octobre 2015 est une décision de refus d’une rétrocession d’un montant de CHF 15'227'000.-, qui lui serait dû en raison d’amendes d’ordres infligées par ses APM et non recouvrées par le SDC.</w:t>
      </w:r>
    </w:p>
    <w:p>
      <w:r>
        <w:rPr>
          <w:b/>
        </w:rPr>
        <w:t>E. 3</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w:t>
      </w:r>
    </w:p>
    <w:p>
      <w:r>
        <w:t>- 5/9 - A/4169/2015 l’existence, l’inexistence ou l’étendue de droits, d’obligations ou de faits (let. b), de rejeter ou de déclarer irrecevables des demandes tendant à créer, modifier, annuler ou constater des droits ou des obligations (let. c). Selon l’art. 4 al. 4 LPA, lorsqu’une autorité mise en demeure refuse sans droit de statuer ou tarde à se prononcer, son silence est assimilé à une décision.</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ATA/946/2016 du</w:t>
      </w:r>
    </w:p>
    <w:p>
      <w:r>
        <w:rPr>
          <w:b/>
        </w:rPr>
        <w:t>E. 8</w:t>
      </w:r>
    </w:p>
    <w:p>
      <w:r>
        <w:t>Vu l’issue du litige, un émolument de CHF 1'000.-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