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ATA/767/2025 vom 14. Juli 2025</w:t>
      </w:r>
    </w:p>
    <w:p>
      <w:r>
        <w:t>GE Cour de justice, 2025-07-14, FR</w:t>
      </w:r>
    </w:p>
    <w:p>
      <w:r>
        <w:rPr>
          <w:b/>
        </w:rPr>
        <w:t xml:space="preserve">Quelle: </w:t>
      </w:r>
      <w:r>
        <w:t>https://mcp.opencaselaw.ch/entscheid/ge_gerichte_ATA_767_2025</w:t>
      </w:r>
    </w:p>
    <w:p>
      <w:r>
        <w:t>FR: GE_GERICHTE ATA/767/2025 du 14 juillet 2025</w:t>
      </w:r>
    </w:p>
    <w:p>
      <w:r>
        <w:t>IT: GE_GERICHTE ATA/767/2025 del 14 luglio 2025</w:t>
      </w:r>
    </w:p>
    <w:p>
      <w:pPr>
        <w:pStyle w:val="Heading2"/>
      </w:pPr>
      <w:r>
        <w:t>Erwägungen</w:t>
      </w:r>
    </w:p>
    <w:p>
      <w:r>
        <w:rPr>
          <w:b/>
        </w:rPr>
        <w:t>E. 25</w:t>
      </w:r>
    </w:p>
    <w:p>
      <w:r>
        <w:t>mars 2025 rendu par le Tribunal administratif de première instance ; dit qu'il n’est pas perçu d’émolument, ni alloué d’indemnité de procédure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suisse, av. du Tribunal fédéral 29, 1000 Lausanne 14, par voie postale ou par voie électronique aux conditions de l'art. 42 LTF. La présente décision et les pièces en possession de la recourante invoquées comme moyens de preuve, doivent être joints à l'envoi ; communique la présente décision à A______, à l'office cantonal de la population et des migrations, au Tribunal administratif de première instance ainsi qu'au Secrétariat d’État aux migrations.</w:t>
      </w:r>
    </w:p>
    <w:p>
      <w:r>
        <w:t>Au nom de la chambre administrative :</w:t>
      </w:r>
    </w:p>
    <w:p>
      <w:r>
        <w:t>- 3/3 - A/3095/2024 la greffière :</w:t>
      </w:r>
    </w:p>
    <w:p>
      <w:r>
        <w:t>S. CARDINAUX</w:t>
      </w:r>
    </w:p>
    <w:p>
      <w:r>
        <w:t>la juge déléguée :</w:t>
      </w:r>
    </w:p>
    <w:p>
      <w:r>
        <w:t>E. McGREGOR</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