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ATA/767/2013 vom 18. November 2013</w:t>
      </w:r>
    </w:p>
    <w:p>
      <w:r>
        <w:t>GE Cour de justice, 2013-11-18, FR</w:t>
      </w:r>
    </w:p>
    <w:p>
      <w:r>
        <w:rPr>
          <w:b/>
        </w:rPr>
        <w:t xml:space="preserve">Quelle: </w:t>
      </w:r>
      <w:r>
        <w:t>https://mcp.opencaselaw.ch/entscheid/ge_gerichte_ATA_767_2013</w:t>
      </w:r>
    </w:p>
    <w:p>
      <w:r>
        <w:t>FR: GE_GERICHTE ATA/767/2013 du 18 novembre 2013</w:t>
      </w:r>
    </w:p>
    <w:p>
      <w:r>
        <w:t>IT: GE_GERICHTE ATA/767/2013 del 18 novembre 2013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2010 - LOJ - E 2 05 ; art. 62 al. 1 let. a de la loi sur la procédure administrative du 12 septembre 1985 - LPA - E 5 10). 2)</w:t>
      </w:r>
    </w:p>
    <w:p>
      <w:r>
        <w:t>Sauf disposition légale contraire, le recours a effet suspensif de par la loi, sauf si l’autorité a déclaré sa décision exécutoire nonobstant recours (art. 66 al. 1 de la loi sur la procédure administrative du 12 septembre 1985 LPA – E 5 10).</w:t>
      </w:r>
    </w:p>
    <w:p>
      <w:r>
        <w:t>Toutefois, lorsqu’aucun intérêt prépondérant ne s’y oppose, la juridiction peut, à la demande de la partie dont les intérêts sont gravement menacés, retirer ou restituer l’effet suspensif (art. 66 al 2 LPA).</w:t>
      </w:r>
    </w:p>
    <w:p>
      <w:r>
        <w:t>Selon la jurisprudence, il y a lieu d’effectuer une pesée d’intérêts entre les intérêts privés ou publics en jeu, étant précisé que l’autorité peut aussi tenir compte des chances de succès du recours. 3.</w:t>
      </w:r>
    </w:p>
    <w:p>
      <w:r>
        <w:t>En l’espèce, l’intérêt privé de la recourante, de nature économique, a un poids certain.</w:t>
      </w:r>
    </w:p>
    <w:p>
      <w:r>
        <w:t>a. Les autres intérêts privés en jeu sont, ainsi que le relève le SCom, ceux de la propriétaire du bâtiment, laquelle est de résilier le bail à loyer. Dès lors qu’une procédure est pendante devant la juridiction compétente, cet élément doit être relativisé, l’issue étant à ce jour incertaine.</w:t>
      </w:r>
    </w:p>
    <w:p>
      <w:r>
        <w:t>b. L’intérêt public, quant à lui, consiste principalement au respect de la loi. Cette dernière exige en particulier que l’exploitant d’un établissement public produise l’accord du bailleur des locaux de l’établissement s’il n’en est lui-même propriétaire (art. 5 let. g LRDBH). Lorsqu’une des conditions à l’octroi d’une autorisation n’est plus remplie, cette autorisation devient caduque, ce que le département constate par décision (art. 8 al. 1 et al. 2 LRDBH).</w:t>
      </w:r>
    </w:p>
    <w:p>
      <w:r>
        <w:t>En l’espèce, ni la recourante, ni Mme C______, ne soutiennent disposer d’un bail et de l’accord des bailleurs.</w:t>
      </w:r>
    </w:p>
    <w:p>
      <w:r>
        <w:t>c.</w:t>
      </w:r>
    </w:p>
    <w:p>
      <w:r>
        <w:t>Il ressort des éléments qui précèdent que l’intérêt de la recourante n’apparaît pas prépondérant face aux autres intérêts en jeu. Depuis qu’elle a requis l’autorisation d’exploiter à titre personnel, elle a disposé de plus de six mois pour produire les documents nécessaires, sans succès. Dès lors, la requête de restitution de l’effet suspensif sera rejetée. 4.</w:t>
      </w:r>
    </w:p>
    <w:p>
      <w:r>
        <w:t>Le sort des frais sera réservé jusqu’à droit jugé sur le fond de la présente procédure.</w:t>
      </w:r>
    </w:p>
    <w:p>
      <w:r>
        <w:t>* * * * *</w:t>
      </w:r>
    </w:p>
    <w:p>
      <w:r>
        <w:t>- 5/5 - A/3238/2013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