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ATA/767/2012 vom 8. November 2012</w:t>
      </w:r>
    </w:p>
    <w:p>
      <w:r>
        <w:t>GE Cour de justice, 2012-11-08, FR</w:t>
      </w:r>
    </w:p>
    <w:p>
      <w:r>
        <w:rPr>
          <w:b/>
        </w:rPr>
        <w:t xml:space="preserve">Quelle: </w:t>
      </w:r>
      <w:r>
        <w:t>https://mcp.opencaselaw.ch/entscheid/ge_gerichte_ATA_767_2012</w:t>
      </w:r>
    </w:p>
    <w:p>
      <w:r>
        <w:t>FR: GE_GERICHTE ATA/767/2012 du 8 novembre 2012</w:t>
      </w:r>
    </w:p>
    <w:p>
      <w:r>
        <w:t>IT: GE_GERICHTE ATA/767/2012 del 8 novembre 2012</w:t>
      </w:r>
    </w:p>
    <w:p>
      <w:pPr>
        <w:pStyle w:val="Heading2"/>
      </w:pPr>
      <w:r>
        <w:t>Erwägungen</w:t>
      </w:r>
    </w:p>
    <w:p>
      <w:r>
        <w:rPr>
          <w:b/>
        </w:rPr>
        <w:t>E. 1</w:t>
      </w:r>
    </w:p>
    <w:p>
      <w:r>
        <w:t>Interjeté le 29 octobre 2012 contre le jugement du TAPI prononcé et communiqué à l’intéressé le 18 octobre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30 octobre 2012, le délai de dix jours vient à échéance au plus tôt le 9 novembre 2012.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refus d’asile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w:t>
      </w:r>
    </w:p>
    <w:p>
      <w:r>
        <w:t>- 7/11 - A/3091/2012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w:t>
      </w:r>
    </w:p>
    <w:p>
      <w:r>
        <w:t>La notion de grave mise en danger de la vie ou de l’intégrité corporelle d’autres personnes ne vise pas que les situations dans lesquelles l’étranger a commis des infractions contre l’intégrité corporelle ou la vie au sens du titre premier des dispositions spéciales du Code pénal suisse du 21 décembre 1937 (CP - RS 311.0). Les faits incriminés peuvent être constitutifs d’infractions pénales appartenant à d’autres titres de la partie spéciale du CP, voire à d’autres lois. Il doit s’agir de faits mettant en jeu de manière concrète ou abstraite la santé physique ou psychique, l’intégrité corporelle ou la vie de tierces personnes. Au nombre de celles-ci figurent les infractions contre l’intégrité corporelle du titre cinquième du CP ou les infractions créant un danger collectif du titre septième de cette loi. De même, on peut y rattacher les infractions à la loi fédérale sur les stupéfiants et les substances psychotropes du 3 octobre 1951 (LStup - RS 812.121), notamment le trafic de stupéfiants. Dans ce dernier domaine, la jurisprudence constante de la chambre de céans a été d’admettre qu’un trafic de stupéfiants portant sur de la cocaïne constituait une mise en danger sérieuse de la vie ou de l’intégrité corporelle d’autrui au sens de l’art. 75 al. 1 let. g LEtr, compte tenu de la dangerosité de ce produit (ATA/142/2012 du 14 mars 2012 confirmé par l’Arrêt du Tribunal fédéral 2C_293/2012 du 18 avril 2012, ainsi que les références citées).</w:t>
      </w:r>
    </w:p>
    <w:p>
      <w:r>
        <w:rPr>
          <w:b/>
        </w:rPr>
        <w:t>E. 6</w:t>
      </w:r>
    </w:p>
    <w:p>
      <w:r>
        <w:t>En l’espèce, tant les déclarations du recourant - qui dit ne pas vouloir repartir en Guinée et a confirmé ce point encore lors de son audition par le TAPI le 18 octobre 2012 - que son comportement - il a refusé de monter à bord du vol de retour prévu le 6 septembre 2012 -, suffisent à démontrer le risque de fuite et le refus d'obtempérer aux injonctions des autorités.</w:t>
      </w:r>
    </w:p>
    <w:p>
      <w:r>
        <w:t>- 8/11 - A/3091/2012</w:t>
      </w:r>
    </w:p>
    <w:p>
      <w:r>
        <w:t>De plus, l’intéressé a été condamné pour vol, soit un crime (art. 10 al. 2 CP) ainsi que pour une infraction à la LStup portant sur une vente de cocaïne, même si le recourant considérait ces infractions comme étant de peu de gravité.</w:t>
      </w:r>
    </w:p>
    <w:p>
      <w:r>
        <w:t>C'est ainsi à juste titre que le TAPI a admis que les conditions de la mise en détention administrative étaient réalisées, au sens des dispositions rappelées ci-dessus.</w:t>
      </w:r>
    </w:p>
    <w:p>
      <w:r>
        <w:rPr>
          <w:b/>
        </w:rPr>
        <w:t>E. 7</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-RS 101).</w:t>
      </w:r>
    </w:p>
    <w:p>
      <w:r>
        <w:t>En l’occurrence, le recourant est maintenu en détention administrative depuis le 5 septembre 2012. Suite au refus du recourant de monter à bord du vol prévu le 6 septembre 2012, les autorités de police des étrangers, au vu de l'impossibilité d'organiser des vols avec escorte policière à destination de la Guinée, ont dû inscrire le recourant sur le prochain vol spécial à destination de son pays d'origine, qui n'aura lieu que le 13 février 2013. Dans ces circonstances, les autorités suisses n'ont pas failli à leur devoir de célérité en ne demandant pas encore de laissez-passer à leurs homologues guinéennes, dès lors que de tels documents ont une validité de trois mois au plus. Le raisonnement du TAPI, qui a limité à trois mois la prolongation de détention en lieu et place des cinq mois demandés, procède d'une saine application du principe de proportionnalité et ne prête pas le flanc à la critique.</w:t>
      </w:r>
    </w:p>
    <w:p>
      <w:r>
        <w:t>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t>Le recourant invoque que le principe de proportionnalité commanderait de le laisser en liberté jusqu'en février afin de le laisser étudier, et joint à son recours une déclaration d'engagement à se présenter à tout rendez-vous fixé par l'OCP. Il perd de vue ce faisant que la période d'attente de plusieurs mois du vol spécial pour lequel il est inscrit découle directement de son comportement passé, à savoir son refus de monter dans le vol prévu en septembre 2012. Cet élément, allié à ses déclarations constantes, telles que rappelées plus haut, ne permettent pas de donner foi à son engagement de collaboration, qui apparaît bien plutôt dicté par les circonstances. Dès lors, malgré le profit que l'intéressé pourrait retirer d'une période d'études supplémentaire, il n'existe pas d'alternative à sa détention administrative qui permette d'assurer l'exécution de son renvoi.</w:t>
      </w:r>
    </w:p>
    <w:p>
      <w:r>
        <w:t>- 9/11 - A/3091/2012</w:t>
      </w:r>
    </w:p>
    <w:p>
      <w:r>
        <w:t>Le grief de violation du principe de proportionnalité sera ainsi écarté.</w:t>
      </w:r>
    </w:p>
    <w:p>
      <w:r>
        <w:rPr>
          <w:b/>
        </w:rPr>
        <w:t>E. 8</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D-3819/2010 du 21 novembre 2011 consid. 4.2.3). Si les soins essentiels nécessaires peuvent être assurés dans le pays d’origine ou de provenance de l’étranger concerné, l’exécution du renvoi dans l’un ou l’autre de ces pays sera raisonnablement exigible (ATF 128 II 200 consid. 5.3).</w:t>
      </w:r>
    </w:p>
    <w:p>
      <w:r>
        <w:t>En l’espèce, le recourant allègue son état de santé comme motif d'inexigibilité du renvoi, et produit en l'état un certificat médical émanant du médecin répondant du centre de détention de Frambois. Contrairement à ce que semblent suggérer les observations de l'administration intimée, ledit certificat ne précise pas expressément que la condition médicale de l'intéressé est incompatible avec sa détention administrative et avec un renvoi en Guinée par la voie aérienne.</w:t>
      </w:r>
    </w:p>
    <w:p>
      <w:r>
        <w:t>Il apparaît néanmoins que les troubles somatiques (douleur costale, mycose inguinale et traumatisme de la phalange distale du 4ème doigt côté gauche) et psychiques (trouble anxieux et « choc post-carcéral ») décrits ne revêtent pas une gravité suffisante pour faire échec à son renvoi, ceux-ci n'étant pas de nature à mettre concrètement le recourant en danger en cas de retour dans son pays d'origine (cf. Arrêt du Tribunal administratif fédéral D-6389/2009 du 12 avril 2012 consid. 7.4).</w:t>
      </w:r>
    </w:p>
    <w:p>
      <w:r>
        <w:rPr>
          <w:b/>
        </w:rPr>
        <w:t>E. 9</w:t>
      </w:r>
    </w:p>
    <w:p>
      <w:r>
        <w:t>Le recours sera ainsi rejeté.</w:t>
      </w:r>
    </w:p>
    <w:p>
      <w:r>
        <w:t>- 10/11 - A/3091/2012</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