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ATA/767/2011 vom 19. Dezember 2011</w:t>
      </w:r>
    </w:p>
    <w:p>
      <w:r>
        <w:t>GE Cour de justice, 2011-12-19, FR</w:t>
      </w:r>
    </w:p>
    <w:p>
      <w:r>
        <w:rPr>
          <w:b/>
        </w:rPr>
        <w:t xml:space="preserve">Quelle: </w:t>
      </w:r>
      <w:r>
        <w:t>https://mcp.opencaselaw.ch/entscheid/ge_gerichte_ATA_767_2011</w:t>
      </w:r>
    </w:p>
    <w:p>
      <w:r>
        <w:t>FR: GE_GERICHTE ATA/767/2011 du 19 décembre 2011</w:t>
      </w:r>
    </w:p>
    <w:p>
      <w:r>
        <w:t>IT: GE_GERICHTE ATA/767/2011 del 19 dicembre 2011</w:t>
      </w:r>
    </w:p>
    <w:p>
      <w:pPr>
        <w:pStyle w:val="Heading2"/>
      </w:pPr>
      <w:r>
        <w:t>Erwägungen</w:t>
      </w:r>
    </w:p>
    <w:p>
      <w:r>
        <w:rPr>
          <w:b/>
        </w:rPr>
        <w:t>E. 1</w:t>
      </w:r>
    </w:p>
    <w:p>
      <w:r>
        <w:t>l’entrée en Suisse,</w:t>
      </w:r>
    </w:p>
    <w:p>
      <w:r>
        <w:rPr>
          <w:b/>
        </w:rPr>
        <w:t>E. 2</w:t>
      </w:r>
    </w:p>
    <w:p>
      <w:r>
        <w:t>une autorisation à laquelle ni le droit fédéral ni le droit international ne donnent droit,</w:t>
      </w:r>
    </w:p>
    <w:p>
      <w:r>
        <w:rPr>
          <w:b/>
        </w:rPr>
        <w:t>E. 3</w:t>
      </w:r>
    </w:p>
    <w:p>
      <w:r>
        <w:t>l’admission provisoire,</w:t>
      </w:r>
    </w:p>
    <w:p>
      <w:r>
        <w:rPr>
          <w:b/>
        </w:rPr>
        <w:t>E. 4</w:t>
      </w:r>
    </w:p>
    <w:p>
      <w:r>
        <w:t>l’expulsion fondée sur l’art. 121, al. 2, de la Constitution ou le renvoi,</w:t>
      </w:r>
    </w:p>
    <w:p>
      <w:r>
        <w:rPr>
          <w:b/>
        </w:rPr>
        <w:t>E. 5</w:t>
      </w:r>
    </w:p>
    <w:p>
      <w:r>
        <w:t>les dérogations aux conditions d’admission,</w:t>
      </w:r>
    </w:p>
    <w:p>
      <w:r>
        <w:rPr>
          <w:b/>
        </w:rPr>
        <w:t>E. 6</w:t>
      </w:r>
    </w:p>
    <w:p>
      <w:r>
        <w:t>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w:t>
      </w:r>
    </w:p>
    <w:p>
      <w:r>
        <w:t>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r>
        <w:t>- 5/5 - A/1398/2010 • Décisions préjudicielles et incidentes (art. 92 et 93 LTF) Art. 92 Décisions préjudicielles et incidentes concernant la compétence et les demandes de récusation 1 Les décisions préjudicielles et incidentes qui sont notifiées séparément et qui portent sur la compétence ou sur une demande de récusation peuvent faire l’objet d’un recours. 2 Ces décisions ne peuvent plus être attaquées ultérieurement. Art. 93 Autres décisions préjudicielles et incidentes 1 Les autres décisions préjudicielles et incidentes notifiées séparément peuvent faire l’objet d’un recours : a. si elles peuvent causer un préjudice irréparable, ou b. si l’admission du recours peut conduire immédiatement à une décision finale qui permet d’éviter une procédure probatoire longue et coûteuse. … Art. 98 Motifs de recours limités Dans le cas des recours formés contre des décisions portant sur des mesures provisionnelles, seule peut être invoquée la violation des droits constitutionnels.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