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ATA/766/2012 vom 8. November 2012</w:t>
      </w:r>
    </w:p>
    <w:p>
      <w:r>
        <w:t>GE Cour de justice, 2012-11-08, FR</w:t>
      </w:r>
    </w:p>
    <w:p>
      <w:r>
        <w:rPr>
          <w:b/>
        </w:rPr>
        <w:t xml:space="preserve">Quelle: </w:t>
      </w:r>
      <w:r>
        <w:t>https://mcp.opencaselaw.ch/entscheid/ge_gerichte_ATA_766_2012</w:t>
      </w:r>
    </w:p>
    <w:p>
      <w:r>
        <w:t>FR: GE_GERICHTE ATA/766/2012 du 8 novembre 2012</w:t>
      </w:r>
    </w:p>
    <w:p>
      <w:r>
        <w:t>IT: GE_GERICHTE ATA/766/2012 del 8 novembre 2012</w:t>
      </w:r>
    </w:p>
    <w:p>
      <w:pPr>
        <w:pStyle w:val="Heading2"/>
      </w:pPr>
      <w:r>
        <w:t>Erwägungen</w:t>
      </w:r>
    </w:p>
    <w:p>
      <w:r>
        <w:rPr>
          <w:b/>
        </w:rPr>
        <w:t>E. 1</w:t>
      </w:r>
    </w:p>
    <w:p>
      <w:r>
        <w:t>Interjeté le 29 octobre 2012 contre le jugement du TAPI prononcé et communiqué à l’intéressé le 18 octobre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30 octobre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Il en va de même si son comportement permet de conclure qu’il se refuse à obtempérer aux instructions des autorités (art. 76 al. 1 let. b ch. 4 LEtr).</w:t>
      </w:r>
    </w:p>
    <w:p>
      <w:r>
        <w:t>b. Les art. 76 al. 1 let. b ch. 3 et 4 LEtr décrivent des comportements permettant de conclure à l’existence d’un risque de fuite ou de disparition. Ces deux éléments doivent donc être envisagés ensemble (Arrêt du Tribunal fédéral 2C_128/2009 du 30 mars 2009 consid. 3.1 ; ATA/283/2012 du 8 mai 2012).</w:t>
      </w:r>
    </w:p>
    <w:p>
      <w:r>
        <w:t>c. En outre,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w:t>
      </w:r>
    </w:p>
    <w:p>
      <w:r>
        <w:t>- 7/10 - A/3111/2012</w:t>
      </w:r>
    </w:p>
    <w:p>
      <w:r>
        <w:t>d. En l’espèce, le recourant fait l’objet d’une décision fédérale de renvoi de Suisse, définitive et exécutoire. Il ne conteste pas que les conditions du renvoi et de la mise en détention administrative soient remplies. Il a été condamné à plusieurs reprises pour infraction à la LStup. Son refus, à deux reprises, de quitter la Suisse et d’embarquer à bord d’un vol à destination du Nigéria, alors qu’il était au bénéfice d’un laissez-passer, établit l’existence d’un risque de fuite ou de disparition. On peut en effet considérer que, s’il était en liberté, le recourant se réfugierait dans la clandestinité pour échapper à son rapatriement. Dans ces circonstances, l’officier de police était fondé à ordonner la mise en détention administrative sur la base des art. 76 al. 1 let. b ch. 1, 3 et 4 LEtr.</w:t>
      </w:r>
    </w:p>
    <w:p>
      <w:r>
        <w:rPr>
          <w:b/>
        </w:rPr>
        <w:t>E. 5</w:t>
      </w:r>
    </w:p>
    <w:p>
      <w:r>
        <w:t>a.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b. Tel est bien le cas en l’espèce. Les autorités ont entrepris les démarches nécessaires à l’audition du recourant par la représentante de l’ambassade du Nigéria, en vue de son rapatriement par vol spécial. Le Nigéria est le seul pays où l’intéressé peut être renvoyé, dans la mesure où il a été reconnu comme étant ressortissant de ce pays par une délégation du Nigéria en 2011. L’allégation de l’intéressé selon laquelle il serait ressortissant du Soudan du Sud ne repose sur aucun fondement, celui-ci n’ayant pas documenté ses dires ni démontré avoir entrepris des démarches en vue d'être reconnu comme tel.</w:t>
      </w:r>
    </w:p>
    <w:p>
      <w:r>
        <w:rPr>
          <w:b/>
        </w:rPr>
        <w:t>E. 6</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précité ; ATA/257/2012 du 2 mai 2012).</w:t>
      </w:r>
    </w:p>
    <w:p>
      <w:r>
        <w:t>c. Le renvoi ne peut être raisonnablement exigé si l’expulsion de l’étranger dans son pays d’origine le met concrètement en danger, par exemple en cas de</w:t>
      </w:r>
    </w:p>
    <w:p>
      <w:r>
        <w:t>- 8/10 - A/3111/2012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 ATA/283/2012 précité).</w:t>
      </w:r>
    </w:p>
    <w:p>
      <w:r>
        <w:t>d. En l’espèce, le recourant allègue que son renvoi est inexigible, car il souffre de crises d’épilepsie pour lesquelles il suit un traitement médicamenteux en Suisse.</w:t>
      </w:r>
    </w:p>
    <w:p>
      <w:r>
        <w:t>Bien que les problèmes de santé décrits par l’intéressé soient attestés par des certificats médicaux, ces derniers n’émettent aucune contre-indication au retour de l’intéressé dans son pays d’origine et ne font nullement état que la suite du traitement serait impossible au Nigéria. En particulier, le Dr Sayegh n’est pas en mesure d’indiquer si l’intéressé a « la capacité médicale de transport aérien » et ajoute simplement que, par « principe de précaution », M. I______ ne peut pas être déclaré apte « en l’état ». Des attestations complémentaires et précises sont ainsi nécessaires pour déterminer ce qu'il en sera au moment de l'exécution du renvoi.</w:t>
      </w:r>
    </w:p>
    <w:p>
      <w:r>
        <w:t>Le fait que la qualité et la fréquence des soins dispensés au Nigéria soient inférieures à celles existant en Suisse n’est, selon la jurisprudence susmentionnée, pas un motif empêchant un renvoi. Il n'est pas démontré dans le cas particulier que la vie du recourant serait concrètement mise en danger. Les « conseils aux voyageurs » figurant sur le site du DFAE sont d'ordre général et s’adressent précisément aux voyageurs partant de Suisse pour se rendre temporairement dans les pays concernés et ont comme référence les standards helvétiques. Ils ne peuvent dès lors constituer une référence déterminante pour les ressortissants desdits pays vivant sur place.</w:t>
      </w:r>
    </w:p>
    <w:p>
      <w:r>
        <w:t>La date du vol spécial n’étant pas encore fixée, aucun motif de santé ne permet d’admettre que le retour du recourant dans son pays d’origine ne serait pas exigible.</w:t>
      </w:r>
    </w:p>
    <w:p>
      <w:r>
        <w:t>- 9/10 - A/3111/2012</w:t>
      </w:r>
    </w:p>
    <w:p>
      <w:r>
        <w:rPr>
          <w:b/>
        </w:rPr>
        <w:t>E. 7</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