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ATA/765/2015 vom 28. Juli 2015</w:t>
      </w:r>
    </w:p>
    <w:p>
      <w:r>
        <w:t>GE Cour de justice, 2015-07-28, FR</w:t>
      </w:r>
    </w:p>
    <w:p>
      <w:r>
        <w:rPr>
          <w:b/>
        </w:rPr>
        <w:t xml:space="preserve">Quelle: </w:t>
      </w:r>
      <w:r>
        <w:t>https://mcp.opencaselaw.ch/entscheid/ge_gerichte_ATA_765_2015</w:t>
      </w:r>
    </w:p>
    <w:p>
      <w:r>
        <w:t>FR: GE_GERICHTE ATA/765/2015 du 28 juillet 2015</w:t>
      </w:r>
    </w:p>
    <w:p>
      <w:r>
        <w:t>IT: GE_GERICHTE ATA/765/2015 del 28 luglio 2015</w:t>
      </w:r>
    </w:p>
    <w:p>
      <w:pPr>
        <w:pStyle w:val="Heading2"/>
      </w:pPr>
      <w:r>
        <w:t>Regeste</w:t>
      </w:r>
    </w:p>
    <w:p>
      <w:r>
        <w:t>Résumé: Recours contre une taxation qualifiant de bénéfice imposable une somme d'argent versée à une coopérative et contre l'amende afférente. Pour qualifier le montant litigieux de bénéfice imposable, l'AFC s'est fondée sur une facture, découverte lors d'une perquisition, portant l'intitulé « services fournis pour l'organisation d'événements en Suisse », ainsi que sur un avis bancaire correspondant. La coopérative allègue que le montant litigieux représente le remboursement d'un prêt, mais échoue à le prouver. Par ailleurs, l'administratrice et directrice de la coopérative, au vu de sa situation personnelle, de ses connaissances, de son expérience, et de l'importance du montant litigieux, ne peut avoir agi qu'au minimum par dol éventuel. Taxation et amende confirmées. Recours de la coopérative rejeté. Recours de l'AFC contre le jugement du TAPI, lequel considère qu'il n'a pas été tenu compte des circonstances individuelles propres des organes de la coopérative pour se prononcer sur l'existence d'une faute en infligeant l'amende. En l'espèce, bien que la motivation de l'AFC soit succincte, il faut considérer qu'elle a tenu compte de la situation personnelle de l'organe de la coopérative pour conclure que celle-ci avait connaissance de la soustraction fiscale. Recours de l'AFC admis.</w:t>
      </w:r>
    </w:p>
    <w:p>
      <w:pPr>
        <w:pStyle w:val="Heading2"/>
      </w:pPr>
      <w:r>
        <w:t>Erwägungen</w:t>
      </w:r>
    </w:p>
    <w:p>
      <w:r>
        <w:rPr>
          <w:b/>
        </w:rPr>
        <w:t>E. 13</w:t>
      </w:r>
    </w:p>
    <w:p>
      <w:r>
        <w:t>novembre 2014, l'AFC-GE a conclu à la confirmation du jugement précité rejetant le recours de la A______, en tant qu'il portait sur la nature du montant litigieux de CHF 150'000.-, et rajoutant cette somme à son bénéfice imposable.</w:t>
      </w:r>
    </w:p>
    <w:p>
      <w:r>
        <w:t>Elle s'est référée à ses arguments de première instance. Mme D______, en sa qualité d'administratrice directrice et de trésorière de la A______, ne pouvait et ne devait ignorer qu'une partie des produits facturés n'avait pas été comptabilisée dans ses comptes. La A______ n'avait pas été en mesure de prouver l'existence d'un contrat de prêt. Les documents produits par la A______ ne permettaient pas d'en inférer que les emprunts ayant servi à financer le prêt de la société italienne auraient été remboursés. 20) Dans sa réponse du 18 décembre 2014 au recours de l'AFC-GE du</w:t>
      </w:r>
    </w:p>
    <w:p>
      <w:r>
        <w:rPr>
          <w:b/>
        </w:rPr>
        <w:t>E. 14</w:t>
      </w:r>
    </w:p>
    <w:p>
      <w:r>
        <w:t>décembre 1990 - LHID - RS 642.14 ; art. 69 al. 1 LPFisc). La preuve d'un comportement intentionnel d'une soustraction incombe à l'autorité fiscale. Selon la jurisprudence du Tribunal fédéral,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(arrêt du Tribunal fédéral 2C_336/2010 du 7 octobre 2010 consid. 4.1, in: RDAF 2010 II p. 593). En revanche, l'inculpé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(cf. art. 18 al. 3 CP) (arrêt du Tribunal fédéral 2A.182/2002 du 25 avril 2003 consid. 4.3, in: RDAF 2003 II 622 p. 631).</w:t>
      </w:r>
    </w:p>
    <w:p>
      <w:r>
        <w:t>b. En règle générale,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w:t>
      </w:r>
    </w:p>
    <w:p>
      <w:r>
        <w:t>- 14/17 - A/3419/2013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l'autorité de recours ne censure que l'abus du pouvoir d'appréciation (ATA/42/2011 du 25 janvier 2011 consid. 6 ; ATA/693/2009 du 22 décembre 2009 consid. 10a ; ATA/410/2007 du 28 août 2007 consid. 20). Ces autorités doivent, dans le respect du principe de la proportionnalité, faire preuve de sévérité afin d’assurer le respect de la loi (ATA/955/2014 précité ; ATA/18/2013 du 8 janvier 2013).</w:t>
      </w:r>
    </w:p>
    <w:p>
      <w:r>
        <w:t>c. La faute au sens des art. 175 et 181 LIFD ne peut être qu'un attribut de la personne physique. En d’autres termes, il ne peut s’agir que de la faute d'un organe de la personne morale, dont le comportement doit être imputé à celle-ci (ATF 135 II 86 consid. 4.2 ; arrêt du Tribunal fédéral 2C_724/2010 du 27 juillet 2011 consid. 9.1). 12) En l'espèce, l'AFC-GE a considéré dans sa décision du 23 septembre 2013 que « de fait, Madame D______ en sa qualité d'organe (administratrice) ne pouvait ignorer qu'une partie des produits facturés n'avaient pas été comptabilisés dans les comptes de la société A______ ». Par conséquent, bien que sa motivation soit succincte, il faut considérer que l'AFC-GE a tenu compte de la situation personnelle de l'organe de la A______ pour conclure que celle-ci avait connaissance de la soustraction fiscale. Le grief de l'AFC-GE sera admis. 13) La A______ requiert dans sa réponse du 18 décembre 2014 l'annulation de l'amende. Elle fait en outre valoir qu'en contestant devant le TAPI l'imposition du montant litigieux, elle a implicitement contesté l'amende également, étant donné que l'une découlait de l'autre. 14)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(ATA/34/2014 du 21 janvier 2014 consid. 3 ; ATA/757/2012 du 6 novembre 2012 ; ATA/99/2012 du 21 février 2012 ; ATA/12/2012 du 10 janvier 2012 ; ATA/153/2010 du 9 mars 2010).</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w:t>
      </w:r>
    </w:p>
    <w:p>
      <w:r>
        <w:t>- 15/17 - A/3419/2013 et la partie adverse puissent comprendre avec certitude les fins du recourant (ATA/569/2015 du 2 juin 2015 consid. 12b ; ATA/234/2015 du 3 mars 2015 consid. 2a ; ATA/208/2015 du 24 février 2015 consid. 3a ; ATA/88/2015 du 20 janvier 2015 consid. 2b ; ATA/754/2014 du 23 septembre 2014 consid. 2a ; ATA/427/2014 du 12 juin 2014 consid. 3a ; ATA/350/2014 du 13 mai 2014 consid. 4 ; ATA/818/2013 du 18 décembre 2013 consid. 3 ; ATA/844/2012 du</w:t>
      </w:r>
    </w:p>
    <w:p>
      <w:r>
        <w:rPr>
          <w:b/>
        </w:rPr>
        <w:t>E. 18</w:t>
      </w:r>
    </w:p>
    <w:p>
      <w:r>
        <w:t>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2, 3ème éd., 2011, p. 624 n. 5.3.1.2).</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(ATA/262/2014 du 15 avril 2014 consid. 2c ; ATA/224/2014 du 8 avril 2014 consid. 2c ; ATA/543/2013 du 27 août 2013 consid. 3). 15) En l'espèce, la A______ ayant agi en personne, il convient de faire preuve de souplesse dans l'interprétation de ses conclusions, dans la mesure où celles-ci peuvent être déduites de son argumentation. Ainsi, il sera admis qu'elle a pris des conclusions implicites en annulation de l'amende. Son grief sera examiné.</w:t>
      </w:r>
    </w:p>
    <w:p>
      <w:r>
        <w:t>Comme il a été mentionné plus haut, l'AFC-GE s'est contenté de considérer que Mme D______, en sa qualité d'administratrice de la A______, ne pouvait ignorer qu'une partie des produits facturés n'avaient pas été comptabilisés dans les comptes de celle-ci. L'AFC-GE a donc retenu le caractère intentionnel de la faute, à tout le moins par dol éventuel. Elle a aussi retenu la bonne collaboration de Mme D______ durant l'instruction et fixé l'amende aux trois quarts de l'impôt soustrait.</w:t>
      </w:r>
    </w:p>
    <w:p>
      <w:r>
        <w:t>Il appert que Mme D______ a agi en tant qu'administratrice et directrice de succursale, avec signature à deux. Partant, au vu de sa situation personnelle, elle n'était pas dépourvue d'expérience et de connaissances en matière de gestion et d'obligations fiscales. De plus, au vu de l'importance du montant litigieux, elle ne peut qu'au minimum avoir agi par dol éventuel.</w:t>
      </w:r>
    </w:p>
    <w:p>
      <w:r>
        <w:t>Au vu de l’ensemble de ces éléments, l’appréciation initiale de l’AFC, fixant le montant de l’amende aux trois quarts de celui de l’impôt éludé, n’apparaît pas critiquable. L’administration n'a pas violé son pouvoir d'appréciation. Le grief de la A______ sera rejeté.</w:t>
      </w:r>
    </w:p>
    <w:p>
      <w:r>
        <w:t>- 16/17 - A/3419/2013 16) Le recours de l'AFC-GE sera admis. 17) Mal fondé, le recours de la A______ sera rejeté. 18) En application des art. 87 al. 1 de la loi sur la procédure administrative du 12 septembre 1985 (LPA - E 5 10) et 1 et 2 du règlement sur les frais, émoluments et indemnités en procédure administrative du 30 juillet 1986 (RFPA - E 5 10.03), la A______, qui succombe, sera condamnée au paiement d’un émolument s'élevant à CHF 500.-. Vu l'issue du litige, il ne sera pas alloué d'indemnité de procédure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