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ATA/764/2018 vom 20. Juli 2018</w:t>
      </w:r>
    </w:p>
    <w:p>
      <w:r>
        <w:t>GE Cour de justice, 2018-07-20, FR</w:t>
      </w:r>
    </w:p>
    <w:p>
      <w:r>
        <w:rPr>
          <w:b/>
        </w:rPr>
        <w:t xml:space="preserve">Quelle: </w:t>
      </w:r>
      <w:r>
        <w:t>https://mcp.opencaselaw.ch/entscheid/ge_gerichte_ATA_764_2018</w:t>
      </w:r>
    </w:p>
    <w:p>
      <w:r>
        <w:t>FR: GE_GERICHTE ATA/764/2018 du 20 juillet 2018</w:t>
      </w:r>
    </w:p>
    <w:p>
      <w:r>
        <w:t>IT: GE_GERICHTE ATA/764/2018 del 20 luglio 2018</w:t>
      </w:r>
    </w:p>
    <w:p>
      <w:pPr>
        <w:pStyle w:val="Heading2"/>
      </w:pPr>
      <w:r>
        <w:t>Erwägungen</w:t>
      </w:r>
    </w:p>
    <w:p>
      <w:r>
        <w:rPr>
          <w:b/>
        </w:rPr>
        <w:t>E. 4</w:t>
      </w:r>
    </w:p>
    <w:p>
      <w:r>
        <w:t>novembre 1950 (CEDH - RS 0.101) et n’a donc pas à satisfaire aux conditions du premier alinéa de cette disposition (Tarkan GÖKSU, in Martina CARONI/Thomas GÄCHTER/Daniela TURNHERR [éd.], Bundesgesetz über die Ausländerinnen und Ausländer, Berne, 2010).</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De jurisprudence constante, constitue une menace pour les tiers et une grave mise en danger de leur vie ou de leur intégrité, la participation à un trafic de stupéfiants comme la cocaïne, compte tenu de la dangerosité de ce produit (ATA/742/2018 du 13 juillet 2018). Le simple soupçon qu'un étranger puisse commettre des infractions dans le milieu de la drogue justifie une mesure prise en application de l'art. 74 al. 1 let. a LEtr (arrêt du Tribunal fédéral 2C_197/2013 du 31 juillet 2013 consid. 3.1 et les arrêts cités).</w:t>
      </w:r>
    </w:p>
    <w:p>
      <w:r>
        <w:t>c. 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w:t>
      </w:r>
    </w:p>
    <w:p>
      <w:r>
        <w:t>- 7/9 - A/2182/2018 2A.514/2006 du 23 janvier 2007 consid. 3.3.1 ; 2A.583/2000 du 6 avril 2001 consid. 3c).</w:t>
      </w:r>
    </w:p>
    <w:p>
      <w:r>
        <w:t>Le fait que l’art. 74 al.1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(ATA/802/2015 du 7 août 2015 consid. 7). Dans l’arrêt précité, la chambre administrative a confirmé la validité d’une mesure d’interdiction de pénétrer dans le canton de Genève prise par l’officier de police pour une durée de douze mois à l’encontre d’un étranger condamné à plusieurs reprises pour trafic de stupéfiants. Il s’agissait d’une personne frappée d’une mesure d’interdiction d’entrer en Suisse et déjà expulsée, mais qui était revenue sur territoire genevois pour y commettre de nouvelles infractions (ATA/802/2015 précité). 4)</w:t>
      </w:r>
    </w:p>
    <w:p>
      <w:r>
        <w:t>En l’espèce, l’intimé a été interpelé deux fois en 2018, la première fois en étant en possession de cinq boulettes de cocaïne – ce qu’il ne conteste pas – et la seconde fois en raison du fait qu’il était démuni de documents d’identité. Il conteste que les boulettes de cocaïne trouvées à la suite de son arrestation dans la fourgonnette de la police étaient les siennes. Ces deux interpellations ont donné lieu à des condamnations pénales. Il convient également de relever que, contrairement à un cas où la chambre administrative a rétabli une interdiction de pénétrer pour une durée de douze mois et où l’intéressé avait été condamné en particulier pour du trafic et de la consommation d’héroïne (ATA/312/2018 précité), le trafic de stupéfiants reproché porte sur de la cocaïne et non de la héroïne ; par ailleurs, les condamnations concernant l’intimé ne sont pas en l’état pas définitives et celui-ci n’a pas fait l’objet d’une première interdiction de périmètre qu’il aurait enfreinte.</w:t>
      </w:r>
    </w:p>
    <w:p>
      <w:r>
        <w:t>En outre, contrairement au cas dans lequel le Tribunal fédéral a considéré que l’accès à un encadrement socio-thérapeutique à l’intérieur du périmètre interdit justifiait le rétablissement de la durée de douze mois d’interdiction prévue par le commissaire de police (arrêt du Tribunal fédéral 2C_330/2015 du 26 novembre 2015), aucune exception n’a été autorisée en l’espèce, qui justifierait le rétablissement de la durée de douze mois ordonnée initialement par le recourant. Ceci vaut aussi en comparaison avec un autre cas tranché par la chambre de céans, dans lequel de nombreuses exceptions à l’interdiction de périmètre étaient prévues et où, au surplus, les infractions commises avaient été plus graves (trafic d’héroïne) qu’en l’espèce (ATA/1282/2017 du 14 septembre 2017).</w:t>
      </w:r>
    </w:p>
    <w:p>
      <w:r>
        <w:t>Enfin, la durée d’interdiction de périmètre réduite à six mois par le TAPI n’apparaît pas contraire à la jurisprudence du Tribunal fédéral et de la chambre administrative telle que rappelée dans l’ATA/233/2018 du 13 mars 2018.</w:t>
      </w:r>
    </w:p>
    <w:p>
      <w:r>
        <w:t>- 8/9 - A/2182/2018</w:t>
      </w:r>
    </w:p>
    <w:p>
      <w:r>
        <w:t>En définitive, une durée de six mois de l’interdiction de pénétrer au centre-ville de Genève ne saurait être considérée comme trop courte pour être apte à protéger l’ordre et la sécurité publics dans ce périmètre, mais apparaît conforme au principe de la proportionnalité.</w:t>
      </w:r>
    </w:p>
    <w:p>
      <w:r>
        <w:t>L’attention de l’intimé est toutefois attirée sur le fait qu’en cas de réitération d’infractions ou d’entrée dans le périmètre interdit, il pourrait s’exposer à une mesure d’interdiction de périmètre plus sévère.</w:t>
      </w:r>
    </w:p>
    <w:p>
      <w:r>
        <w:t>Au vu ce qui précède, le TAPI n’ayant pas mésusé de son pouvoir d’appréciation dans son jugement querellé, le recours sera rejeté. 5)</w:t>
      </w:r>
    </w:p>
    <w:p>
      <w:r>
        <w:t>Compte tenu de la nature, il ne sera pas perçu d’émolument (art. 87 al. 1 LPA : art. 12 al. 1 du règlement sur les frais, émoluments et indemnités en procédure administrative du 30 juillet 1986 - RFPA - E 5 10.03). Aucune indemnité de procédure ne sera allouée à l’intimé, qui n’y a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