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ATA/764/2014 vom 30. September 2014</w:t>
      </w:r>
    </w:p>
    <w:p>
      <w:r>
        <w:t>GE Cour de justice, 2014-09-30, FR</w:t>
      </w:r>
    </w:p>
    <w:p>
      <w:r>
        <w:rPr>
          <w:b/>
        </w:rPr>
        <w:t xml:space="preserve">Quelle: </w:t>
      </w:r>
      <w:r>
        <w:t>https://mcp.opencaselaw.ch/entscheid/ge_gerichte_ATA_764_2014</w:t>
      </w:r>
    </w:p>
    <w:p>
      <w:r>
        <w:t>FR: GE_GERICHTE ATA/764/2014 du 30 septembre 2014</w:t>
      </w:r>
    </w:p>
    <w:p>
      <w:r>
        <w:t>IT: GE_GERICHTE ATA/764/2014 del 30 settembre 2014</w:t>
      </w:r>
    </w:p>
    <w:p>
      <w:pPr>
        <w:pStyle w:val="Heading2"/>
      </w:pPr>
      <w:r>
        <w:t>Regeste</w:t>
      </w:r>
    </w:p>
    <w:p>
      <w:r>
        <w:t>Résumé: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w:t>
      </w:r>
    </w:p>
    <w:p>
      <w:pPr>
        <w:pStyle w:val="Heading2"/>
      </w:pPr>
      <w:r>
        <w:t>Erwägungen</w:t>
      </w:r>
    </w:p>
    <w:p>
      <w:r>
        <w:rPr>
          <w:b/>
        </w:rPr>
        <w:t>E. 12</w:t>
      </w:r>
    </w:p>
    <w:p>
      <w:r>
        <w:t>septembre 1985 - LPA - E 5 10 ; art. 7 al. 2 de la loi de procédure fiscale du 4 octobre 2001 - LPFisc - D 3 17).</w:t>
      </w:r>
    </w:p>
    <w:p>
      <w:r>
        <w:t>- 5/14 - A/939/2013 2)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w:t>
      </w:r>
    </w:p>
    <w:p>
      <w:r>
        <w:t>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 / 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3) a. La loi s’interprète en premier lieu selon sa lettre (interprétation littérale). Si le texte n’est pas absolument clair, si plusieurs interprétations de celui-ci sont possibles, le juge recherchera la véritable portée de la norme au regard notamment</w:t>
      </w:r>
    </w:p>
    <w:p>
      <w:r>
        <w:t>- 6/14 - A/939/2013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w:t>
      </w:r>
    </w:p>
    <w:p>
      <w:r>
        <w:t>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4) a. La LIPP et la LIFD consacrent, pour les personnes physiques, les théories de l’accroissement du patrimoine et du revenu global net, qui s’appliquent aussi bien aux personnes exerçant une activité lucrative dépendante qu’indépendante</w:t>
      </w:r>
    </w:p>
    <w:p>
      <w:r>
        <w:t>- 7/14 - A/939/2013 (ATF 139 II 363 consid. 2.1 p. 365 ; arrêt du Tribunal fédéral 2C_664/2013 du 28 avril 2014 consid. 6.1).</w:t>
      </w:r>
    </w:p>
    <w:p>
      <w:r>
        <w:t>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w:t>
      </w:r>
    </w:p>
    <w:p>
      <w:r>
        <w:t>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w:t>
      </w:r>
    </w:p>
    <w:p>
      <w:r>
        <w:t>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w:t>
      </w:r>
    </w:p>
    <w:p>
      <w:r>
        <w:t>- 8/14 - A/939/2013</w:t>
      </w:r>
    </w:p>
    <w:p>
      <w:r>
        <w:t>Quant à l’art. 19 al. 1 LIPP, il a repris la teneur de l’ancien art. 3 de la loi sur l’imposition des personnes physiques - impôt sur le revenu, revenu imposable, du 22 septembre 2000 (aLIPP-IV - D 3 14), dont le texte a lui-même été calqué sur celui de l’art. 18 al. 1 LIFD (MGC 2000 2/I 387).</w:t>
      </w:r>
    </w:p>
    <w:p>
      <w:r>
        <w:t>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(ATA/510/2004 du 8 juin 2004 ; Xavier OBERSON, Droit fiscal suisse, 4ème éd., 2012, p. 172 n. 275).</w:t>
      </w:r>
    </w:p>
    <w:p>
      <w:r>
        <w:t>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5)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w:t>
      </w:r>
    </w:p>
    <w:p>
      <w:r>
        <w:t>- 9/14 - A/939/2013 (al. 1), le mobilier de ménage et les objets personnels d’usage courant n’étant pas imposés (al. 4).</w:t>
      </w:r>
    </w:p>
    <w:p>
      <w:r>
        <w:t>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w:t>
      </w:r>
    </w:p>
    <w:p>
      <w:r>
        <w:t>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w:t>
      </w:r>
    </w:p>
    <w:p>
      <w:r>
        <w:t>Au titre des déductions sociales, l’art. 58 al. 2 LIPP accorde notamment une déduction égale à la moitié des éléments de fortune investis dans l’exploitation commerciale, artisanale ou industrielle du contribuable, au prorata de sa participation, mais au maximum CHF 500’000.-.</w:t>
      </w:r>
    </w:p>
    <w:p>
      <w:r>
        <w:t>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w:t>
      </w:r>
    </w:p>
    <w:p>
      <w:r>
        <w:t>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w:t>
      </w:r>
    </w:p>
    <w:p>
      <w:r>
        <w:t>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w:t>
      </w:r>
    </w:p>
    <w:p>
      <w:r>
        <w:t>- 10/14 - A/939/2013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w:t>
      </w:r>
    </w:p>
    <w:p>
      <w:r>
        <w:t>Le législateur a toutefois renoncé à introduire une telle disposition dans l’aLIPP-III au regard de la baisse probable des recettes fiscales, du fait de l’existence d’autres moyens, en particulier la promotion économique, permettant d’atteindre le même résultat (MGC 2008-2009/IX A 11697) et de la précision, par l’AFC, que la déduction généralisée d’une partie des investissements commerciaux présentait davantage le caractère d’une exonération que d’une déduction sociale (MGC 2000 44/VIII 7249).</w:t>
      </w:r>
    </w:p>
    <w:p>
      <w:r>
        <w:t>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w:t>
      </w:r>
    </w:p>
    <w:p>
      <w:r>
        <w:t>- 11/14 - A/939/2013 6)</w:t>
      </w:r>
    </w:p>
    <w:p>
      <w:r>
        <w:t>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w:t>
      </w:r>
    </w:p>
    <w:p>
      <w:r>
        <w:t>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 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7)</w:t>
      </w:r>
    </w:p>
    <w:p>
      <w:r>
        <w:t>En l’espèce, Mme A______, pharmacienne, exploite une pharmacie sous la forme d’une entreprise individuelle, en qualité d’indépendante. Pour ce motif, les premiers juges ont considéré que les époux B______ pouvaient bénéficier, au titre de l’impôt sur la fortune, de la déduction de l’art. 58 al. 2 LIPP en raison des éléments de la fortune investis dans l’exploitation commerciale, artisanale ou industrielle, leur entreprise étant au surplus génératrice d’emplois.</w:t>
      </w:r>
    </w:p>
    <w:p>
      <w:r>
        <w:t>Un tel raisonnement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w:t>
      </w:r>
    </w:p>
    <w:p>
      <w:r>
        <w:t>- 12/14 - A/939/2013</w:t>
      </w:r>
    </w:p>
    <w:p>
      <w:r>
        <w:t>Le sens de l’art. 58 al. 2 LIPP ne correspond toutefois pas non plus à la définition, restrictive, qu’en a donnée l’AFC.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w:t>
      </w:r>
    </w:p>
    <w:p>
      <w:r>
        <w:t>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w:t>
      </w:r>
    </w:p>
    <w:p>
      <w:r>
        <w:t>L’art. 58 al. 2 LIPP ne peut ainsi être interprété de manière restrictive, comme l’a fait l’AFC, et ne peut pas être appliqué qu’aux activités strictement « commerciale, artisanale ou industrielle » ni être limité aux dénominations historiques utilisées, sans égard à l’évolution des professions envisagées. Tel est en particulier le cas de celle de Mme A______ ; même si son aspect de profession libérale est indéniable, elle comporte également une part artisanale ayant trait à la fabrication de produits thérapeutiques et un aspect commercial concernant la vente de médicaments, ce qui doit être pris en compte pour déterminer si la déduction de l’art. 58 al. 2 LIPP peut être octroyée.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w:t>
      </w:r>
    </w:p>
    <w:p>
      <w:r>
        <w:t>Il en résulte que le champ d’application de l’art. 58 al. 2 LIPP doit être déterminé au regard de la forme de l’activité envisagée, en prenant en compte sa spécificité, étant précisé que toutes celles énumérées par les art. 19 LIPP et 18 LIFD peuvent potentiellement entrer en ligne de compte, et du degré d’investissement dans l’outil de travail. Cet élément est déterminant, dès lors que la déduction ne saurait être octroyée sans aucune participation préalable du</w:t>
      </w:r>
    </w:p>
    <w:p>
      <w:r>
        <w:t>- 13/14 - A/939/2013 contribuable pour chaque exercice fiscal considéré pour l’année en cause, sous peine de vider l’art. 58 al. 2 LIPP de son sens.</w:t>
      </w:r>
    </w:p>
    <w:p>
      <w:r>
        <w:t>Il n’appartient toutefois pas à la chambre de céans d’effectuer une telle casuistique, mais à l’AFC,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 arrêtera enfin le montant de l’ICC des intimés pour l’exercice 2011 en conséquence. 8)</w:t>
      </w:r>
    </w:p>
    <w:p>
      <w:r>
        <w:t>Par conséquent, le recours sera partiellement admis. Le jugement entrepris, la décision sur réclamation du 18 février 2013 ainsi que le bordereau de taxation du 23 janvier 2013 pour l’ICC 2011 seront annulés et le dossier renvoyé à l’AFC pour nouvelle décision de taxation au sens des considérants. 9)</w:t>
      </w:r>
    </w:p>
    <w:p>
      <w:r>
        <w:t>Malgré l’issue du litige, aucun émolument ne sera mis à la charge des intimés, ceux-ci n’ayant pas pris de conclusions devant la chambre de céans (ATA/552/2014 du 17 juillet 2014),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