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ATA/763/2015 vom 28. Juli 2015</w:t>
      </w:r>
    </w:p>
    <w:p>
      <w:r>
        <w:t>GE Cour de justice, 2015-07-28, FR</w:t>
      </w:r>
    </w:p>
    <w:p>
      <w:r>
        <w:rPr>
          <w:b/>
        </w:rPr>
        <w:t xml:space="preserve">Quelle: </w:t>
      </w:r>
      <w:r>
        <w:t>https://mcp.opencaselaw.ch/entscheid/ge_gerichte_ATA_763_2015</w:t>
      </w:r>
    </w:p>
    <w:p>
      <w:r>
        <w:t>FR: GE_GERICHTE ATA/763/2015 du 28 juillet 2015</w:t>
      </w:r>
    </w:p>
    <w:p>
      <w:r>
        <w:t>IT: GE_GERICHTE ATA/763/2015 del 28 luglio 2015</w:t>
      </w:r>
    </w:p>
    <w:p>
      <w:pPr>
        <w:pStyle w:val="Heading2"/>
      </w:pPr>
      <w:r>
        <w:t>Erwägungen</w:t>
      </w:r>
    </w:p>
    <w:p>
      <w:r>
        <w:rPr>
          <w:b/>
        </w:rPr>
        <w:t>E. 12</w:t>
      </w:r>
    </w:p>
    <w:p>
      <w:r>
        <w:t>septembre 1985 - LPA - E 5 10). 2)</w:t>
      </w:r>
    </w:p>
    <w:p>
      <w:r>
        <w:t>La recourante conclut notamment à l’annulation « des taxations 2005 ».</w:t>
      </w:r>
    </w:p>
    <w:p>
      <w:r>
        <w:t>Le bordereau de taxation ICC 2005 n’a pas été porté devant le TAPI dans la présente procédure. Cette juridiction n’ayant pas statué sur cet objet dans le jugement attaqué, cette conclusion est irrecevable si elle vise ce dernier bordereau</w:t>
      </w:r>
    </w:p>
    <w:p>
      <w:r>
        <w:t>- 7/28 - A/1850/2011 (JAAC 1999, n. 78 p. 734 ; ATA/500/2014 du 1er juillet 2014 ; ATA/92/2009 du 24 février 2009 ; ATA/812/2005 du 29 novembre 2005 ; Benoît BOVAY, Procédure administrative, 2000, p. 390-391).</w:t>
      </w:r>
    </w:p>
    <w:p>
      <w:r>
        <w:t>Le litige concerne donc l’IFD 2005 à 2009 et l'ICC 2006 à 2009.</w:t>
      </w:r>
    </w:p>
    <w:p>
      <w:r>
        <w:t>IFD 2005 à 2009 3)</w:t>
      </w:r>
    </w:p>
    <w:p>
      <w:r>
        <w:t>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w:t>
      </w:r>
    </w:p>
    <w:p>
      <w:r>
        <w:t>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w:t>
      </w:r>
    </w:p>
    <w:p>
      <w:r>
        <w:t>- 8/28 - A/1850/2011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96- 97). 4)</w:t>
      </w:r>
    </w:p>
    <w:p>
      <w:r>
        <w:t>Le droit suisse de la comptabilité commerciale figure aux art. 957 et suivants du CO. Ces dispositions ont été modifiées, par révision du 23 décembre 2011, entrée en vigueur le 1er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 du 21 décembre 2007, FF 2008 1407, p. 1410).</w:t>
      </w:r>
    </w:p>
    <w:p>
      <w:r>
        <w:t>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w:t>
      </w:r>
    </w:p>
    <w:p>
      <w:r>
        <w:t>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 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Étant donné que les comptes annuels, bien plus que la comptabilité, sont destinés à des usagers externes et que l’on ne peut exiger des destinataires qu’ils procèdent eux-mêmes aux conversions monétaires, l’indication des montants dans la monnaie nationale est exigée. Cela était d’autant plus</w:t>
      </w:r>
    </w:p>
    <w:p>
      <w:r>
        <w:t>- 9/28 - A/1850/2011 nécessaire que les comptes annuels établis selon le CO servent de base à la taxation (FF 2008 1407, p. 1522).</w:t>
      </w:r>
    </w:p>
    <w:p>
      <w:r>
        <w:t>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w:t>
      </w:r>
    </w:p>
    <w:p>
      <w:r>
        <w:t>Le litige porte sur des décisions de taxation IFD des années 2005 à 2009. C’est donc à l’aune de l’ancien droit, dans sa teneur en vigueur jusqu’au 31 décembre 2012, qu’il doit être résolu. 5)</w:t>
      </w:r>
    </w:p>
    <w:p>
      <w:r>
        <w:t>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w:t>
      </w:r>
    </w:p>
    <w:p>
      <w:r>
        <w:t>Sur ce point, l’ancien et le nouveau droit comptable prévoient donc une réglementation similaire. 6)</w:t>
      </w:r>
    </w:p>
    <w:p>
      <w:r>
        <w:t>Pour le surplus, le droit comptable ne règle pas la conversion des comptes tenus en monnaie fonctionnelle étrangère dans la monnaie nationale de présentation.</w:t>
      </w:r>
    </w:p>
    <w:p>
      <w:r>
        <w:t>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 7)</w:t>
      </w:r>
    </w:p>
    <w:p>
      <w:r>
        <w:t>Les écarts de conversion ou de change doivent être distingués des opérations de change ; les premiers sont des opérations comptables d’ajustement de valeurs qui sont destinées à enregistrer des probabilités, tandis que les seconds se</w:t>
      </w:r>
    </w:p>
    <w:p>
      <w:r>
        <w:t>- 10/28 - A/1850/2011 rapportent à des opérations commerciales effectuées dans une monnaie différente de la monnaie fonctionnelle de l’entreprise et donnant lieu à des pertes ou à des gains effectifs (Eric CAUSIN, Droit comptable des entreprises, 2002, p. 778-783 n. 1179-1190).</w:t>
      </w:r>
    </w:p>
    <w:p>
      <w:r>
        <w:t>Le Manuel suisse d’audit (ci-après : MSA) recommande d’utiliser la méthode du cours de clôture (« current ou closing rate method ») pour gérer comptablement ces écarts.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 8)</w:t>
      </w:r>
    </w:p>
    <w:p>
      <w:r>
        <w:t>Les normes comptables internationales, élaborées par le bureau des standards comptables internationaux, prévoient un autre mode de comptabilisation des écarts de conversion litigieux.</w:t>
      </w:r>
    </w:p>
    <w:p>
      <w:r>
        <w:t>a. 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 n’ont que peu ou pas d’effet direct sur les flux de trésorerie actuels et futurs liés à l’activité. Le montant cumulé des écarts de change est présenté dans une</w:t>
      </w:r>
    </w:p>
    <w:p>
      <w:r>
        <w:t>- 11/28 - A/1850/2011 composante distincte des capitaux propres jusqu’à la sortie de l’établissement à l’étranger (ch. 41) ».</w:t>
      </w:r>
    </w:p>
    <w:p>
      <w:r>
        <w:t>b. 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 autres éléments du résultat global ; (c) le résultat global de la période, c’est-à-dire le total du résultat net et des autres éléments du résultat global. 9)</w:t>
      </w:r>
    </w:p>
    <w:p>
      <w:r>
        <w:t>Dans l’ATF 136 II 88, le Tribunal fédéral a tranché la question de savoir si les écarts de conversion influençaient le bénéfice imposable d’une personne morale. Il a confirmé la solution adoptée dans l’ATA/562/2008 du 4 novembre 2008, que la chambre de céans a réaffirmée en la développant, dans l’ATA/500/2014 précité.</w:t>
      </w:r>
    </w:p>
    <w:p>
      <w:r>
        <w:t>Les écarts de conversion n’avaient rien à voir avec l’activité d’une entreprise et n’étaient que la conséquence de l’opération comptable consistant à convertir les comptes établis en monnaie fonctionnelle étrangère dans la monnaie de présentation, comme l’exigeait l’art. 960 al. 1 aCO (consid. 4.2).</w:t>
      </w:r>
    </w:p>
    <w:p>
      <w:r>
        <w:t>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w:t>
      </w:r>
    </w:p>
    <w:p>
      <w:r>
        <w:t>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w:t>
      </w:r>
    </w:p>
    <w:p>
      <w:r>
        <w:t>- 12/28 - A/1850/2011 n’empêchaient pas les autorités de s’écarter des comptes présentés, lorsque ceux- ci n’étaient pas établis conformément aux règles comptables (consid. 5.1).</w:t>
      </w:r>
    </w:p>
    <w:p>
      <w:r>
        <w:t>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 transaction dans cette monnaie, elle ne pouvait enregistrer aucun gain ou perte de change. Peu importait que ses comptes établis en USD dussent par la suite être convertis dans une monnaie de présentation différente, en l’occurrence le CHF (consid. 5.2).</w:t>
      </w:r>
    </w:p>
    <w:p>
      <w:r>
        <w:t>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w:t>
      </w:r>
    </w:p>
    <w:p>
      <w:r>
        <w:t>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w:t>
      </w:r>
    </w:p>
    <w:p>
      <w:r>
        <w:t>- 13/28 - A/1850/2011 fin de la période fiscale, ce qui était la caractéristique du bénéfice net imposable. En ne tenant pas compte de ces écarts, la juridiction cantonale n’avait donc pas porté atteinte au principe de l’égalité de l’imposition, ni imposé la recourante au- delà de sa capacité contributive (consid. 5.5). 10) En doctrine, les avis sont partagés. Certains auteurs approuvent cette solution (Stephan GLANZ/Dieter PFAFF, Zur Währungsumrechnung von Handels- und Steuerbilanz - Wieso das Bundesgericht den Steuerabzung von « Umrechnungsverlusten » untersagt, StR 66/2011 p. 470 ss ; Raphaël GANI, Un quinquennat dans l’imposition directe des personnes morales - chronique de jurisprudence 2005-2009 - RDAF 2010 II 535,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 Traitement fiscal des écarts de conversion, Un revirement de jurisprudence s’imposerait-il ?, ECS 6-7/11 p. 530 ss ; Cédric BIGNENS/Marie-Hélène REVAZ, Traitement comptable et fiscal des écarts de conversion, commentaire de l’arrêt du Tribunal fédéral du 1er octobre 2009, ECS 6-7-/10 p. 418 ss ; Marco DUSS/Fabien DUSS, Währungsdifferenzen aus Umrechnung bei Buchführung in Fremdwährung, ST 6-7/10 p. 407 ss). 11) Les différents griefs soulevés par la recourante n’infirment pas le raisonnement suivi par le Tribunal fédéral dans l’ATF 136 II 88. La conclusion à laquelle la Haute Cour est parvenue dispose d’un fondement juridique solide auquel il convient de se rallier.</w:t>
      </w:r>
    </w:p>
    <w:p>
      <w:r>
        <w:t>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w:t>
      </w:r>
    </w:p>
    <w:p>
      <w:r>
        <w:t>b. Parmi ces règles correctrices propres au droit fiscal, l’art. 58 al.1 let. b LIFD prévoit de réintégrer dans le bénéfice imposable d’une entreprise tous les prélèvements, c’est-à-dire toutes les charges, qui ne servent pas à couvrir des</w:t>
      </w:r>
    </w:p>
    <w:p>
      <w:r>
        <w:t>- 14/28 - A/1850/2011 dépenses justifiées par l’usage commercial. Cette disposition ne précise pas ce qu’il faut entendre par « dépenses justifiées par l’usage commercial », mais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w:t>
      </w:r>
    </w:p>
    <w:p>
      <w:r>
        <w:t>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w:t>
      </w:r>
    </w:p>
    <w:p>
      <w:r>
        <w:t>d. Il n’a pas appliqué rétroactivement un cadre normatif comptable étranger, mais s’y est référé pour appréhender correctement la réalité économique sous- jacente des écarts de conversion. Les normes IFRS confirmant que ces derniers n’avaient pas d’impact sur le fonctionnement d’une entreprise, il se justifiait de ne pas les prendre en compte dans la détermination du bénéfice imposable en application de l’art. 58 al. 1 LIFD.</w:t>
      </w:r>
    </w:p>
    <w:p>
      <w:r>
        <w:t>e. En l’absence de disposition de droit suisse réglant le traitement comptable des écarts de conversion, le choix d’un contribuable de comptabiliser ceux-ci dans son compte de pertes et profits n’était pas opposable aux autorités fiscales. Celles- ci peuvent en effet s’écarter d’un résultat commercial déterminé arbitrairement lorsque les règles correctrices prévues à l’art. 58 al. 1 let. b et c LIFD le commandent. Tempérament apporté au principe de déterminance, ces règles correctrices mettent en œuvre l’objectif du droit fiscal qui consiste à identifier le bénéfice effectivement réalisé durant une période fiscale. Elles ne contreviennent pas pour autant au principe de la prudence qui, comme elles, n’autorise pas la création de réserves arbitraires consistant en une sous-évaluation délibérée d’actifs, respectivement dans une estimation excessive des passifs (ATF 136 II 88 consid. 5.3 ; Robert DANON, Commentaire Romand, op. cit., ad art. 57-58 LIFD,</w:t>
      </w:r>
    </w:p>
    <w:p>
      <w:r>
        <w:t>- 15/28 - A/1850/2011 p. 724 n. 22). Or, les développements qui suivent démontreront que les écarts de conversion négatifs ne correspondent notamment pas à un risque de perte pour le contribuable. 12) Pour en comprendre la portée, la notion d’écarts de conversion doit s’appréhender en parallèle de celles de monnaie fonctionnelle et de monnaie de présentation.</w:t>
      </w:r>
    </w:p>
    <w:p>
      <w:r>
        <w:t>a. La monnaie fonctionnelle se définit comme celle qui caractérise l’environnement économique d’une entreprise, soit la monnaie la plus importante eu égard à ses activités (ATF 136 II 88 consid. 4.1 et les références citées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w:t>
      </w:r>
    </w:p>
    <w:p>
      <w:r>
        <w:t>b. La monnaie de présentation est celle dans laquelle les états financiers d’une entreprise doivent être établis dans leur version finale. Pour les sociétés incorporées dans l’ordre juridique suisse, il s’agit du CHF en vertu de l’art. 960 al. 1 aCO (et désormais de l’art. 958d al. 3 CO). Les sociétés, qui, parce qu’elles mènent l’essentiel de leurs activités sur les marchés internationaux, tiennent leur comptabilité dans une monnaie fonctionnelle étrangère, sont ainsi tenues de convertir leurs états financiers en monnaie suisse à la fin de chaque exercice. 13) 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w:t>
      </w:r>
    </w:p>
    <w:p>
      <w:r>
        <w:t>- 16/28 - A/1850/2011 14) 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a un effet sur le fonctionnement de l’entreprise concernée. À l’inverse, des écarts de conversion enregistrés sur chacune des rubriques d’une entreprise tenues en monnaie étrangère n’influencent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15)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w:t>
      </w:r>
    </w:p>
    <w:p>
      <w:r>
        <w:t>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 lorsque les montants à payer ou à recevoir sont libellés dans une monnaie étrangère ou, de toute autre façon, acquiert ou cède des actifs ou contracte ou règle des passifs libellés dans une monnaie étrangère. Une transaction en monnaie étrangère doit être enregistrée, lors de sa comptabilisation initiale dans la monnaie fonctionnelle, en appliquant au montant en monnaie étrangère le cours de change au comptant entre la monnaie fonctionnelle et la monnaie étrangère à la date de la transaction (ch. 22). À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w:t>
      </w:r>
    </w:p>
    <w:p>
      <w:r>
        <w:t>- 17/28 - A/1850/2011 16) 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 17) 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déduites,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 18) La comptabilisation des écarts de conversion litigieux, soit ceux résultant de l’utilisation d’une monnaie fonctionnelle autre que la monnaie de présentation, est en revanche traitée aux chiffres 38 à 50 de la norme IAS/IFRS 21 déjà cités. Tous ces écarts, qu’ils soient positifs ou négatifs, doivent être comptabilisés « en autres éléments du résultat global » (ch. 39 let. c). Ils ne doivent pas être comptabilisés en résultat net, parce qu’ils n’ont pas d’impact sur la monnaie fonctionnelle de l’entreprise et n’ont que peu ou pas d’effet direct sur ses flux de trésorerie actuels ou futurs (ch. 41). Ils ne doivent figurer qu’au bilan, afin d’équilibrer l’actif et le passif. 19) 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 20) Indépendamment de leur mode de comptabilisation, la question déterminante est de savoir si un écart de conversion positif ou négatif affecte la</w:t>
      </w:r>
    </w:p>
    <w:p>
      <w:r>
        <w:t>- 18/28 - A/1850/2011 capacité contributive d’une entreprise et accroît ou réduit son capital propre entre le début et la fin de la période fiscale.</w:t>
      </w:r>
    </w:p>
    <w:p>
      <w:r>
        <w:t>Pour les entreprises disposant d’une monnaie fonctionnelle étrangère, l’examen de leur capacité contributive et de l’évolution de leur patrimoine ne doit pas s’apprécier sur la base des comptes convertis en monnaie de présentation.</w:t>
      </w:r>
    </w:p>
    <w:p>
      <w:r>
        <w:t>Une entreprise, qui s’incorpore dans l’ordre juridique suisse, a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w:t>
      </w:r>
    </w:p>
    <w:p>
      <w:r>
        <w:t>Moyennant cette correction dictée par le principe de l’imposition selon la capacité contributive au sens de l’art. 127 al. 2 Cst., c’est bien sur la base des comptes convertis en CHF que l’impôt sera fixé et dû par le contribuable. L’obligation de payer l’impôt sur le bénéfice en CHF s’impose à toute entreprise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21) Le Tribunal fédéral n’a au surplus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 Pour le reste, la règle correctrice querellée ne déploie ses effets qu’au niveau fiscal, les comptes statutaires demeurant déterminants pour l’application des dispositions de droit</w:t>
      </w:r>
    </w:p>
    <w:p>
      <w:r>
        <w:t>- 19/28 - A/1850/2011 commercial (cf. Robert DANON, Commentaire Romand, op. cit., n. 45 ad art. 57- 58 LIFD). 22) L’argument selon lequel le principe d’interaction ou de concordance entre le bilan et le compte de pertes et profits exigerait toutefois que les écarts de conversion soient comptabilisés au compte de pertes et profits n’est pas convaincant. Il est vrai qu’hormis les apports et les retraits de capitaux, toute modification des fonds propres doit, en principe, se refléter dans le compte de résultat. La règle souffre toutefois de nombreuses exceptions en pratique, telles la comptabilisation au bilan des réévaluations d’immeubles ou de participations au- delà de leur coût d’acquisition (art. 670 CO ; Pierre-Marie GLAUSER, op. cit., vol. 2, 2005, p.46-47). Les écarts de conversion peuvent et doivent compter parmi ces exceptions, dans la mesure où ils consistent en des opérations comptables d’ajustement de valeurs dépourvues d’impact sur le fonctionnement des contribuables concernés. 23) Quant au grief d’inégalité de traitement soulevé par le recourante, il n’a pas plus de substance.</w:t>
      </w:r>
    </w:p>
    <w:p>
      <w:r>
        <w:t>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 semblables, y compris les états de faits économiquement assimilables. À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4ème éd., 2012, p. 35 n. 21 et les références jurisprudentielles citées, ainsi que n. 38).</w:t>
      </w:r>
    </w:p>
    <w:p>
      <w:r>
        <w:t>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 exerçant exclusivement leurs activités en CHF, puisque ces dernières ne comptabilisent par définition aucun écart de conversion.</w:t>
      </w:r>
    </w:p>
    <w:p>
      <w:r>
        <w:t>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w:t>
      </w:r>
    </w:p>
    <w:p>
      <w:r>
        <w:t>- 20/28 - A/1850/2011 réalité, l’exemple chiffré dont la recourante se prévaut se rapporte à des situations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w:t>
      </w:r>
    </w:p>
    <w:p>
      <w:r>
        <w:t>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24) Le changement de pratique administrative que l’AFC-GE a opéré dans le courant des années 2000 en matière d’écarts de conversion n’emporte au surplus pas de violation du principe de la bonne foi au sens des art. 8 et 9 Cst. (voir ATF 135 I 79 consid. 3 ; 132 III 770 consid. 4 ; 127 I 49 consid. 3c ; 127 II 289 consid. 3a et les références citées ; ATA/285/2012 du 8 mai 2012 consid. 12).</w:t>
      </w:r>
    </w:p>
    <w:p>
      <w:r>
        <w:t>Il repose sur des motifs sérieux et objectifs, avalisés par le Tribunal fédéral dans l’ATF 136 II 88, et a permis de rétablir une situation conforme au droit et au principe constitutionnel de l’imposition selon la capacité contributive, comme exposé ci-dessus. 25) La recourante ne peut enfin tirer aucun bénéfice de l’arrêt du Tribunal fédéral du 26 février 1954, paru in ASA 23 p. 89.</w:t>
      </w:r>
    </w:p>
    <w:p>
      <w:r>
        <w:t>Les circonstances ont passablement évolué depuis que cette décision a été rendue. L’activité des entreprises s’est internationalisée, modifiant d’autant les pratiques comptables. En parallèle de cette internationalisation croissante, les</w:t>
      </w:r>
    </w:p>
    <w:p>
      <w:r>
        <w:t>- 21/28 - A/1850/2011 notions de monnaie fonctionnelle et de monnaie de présentation se sont développées. Si l’arrêt précité avait véritablement constitué un précédent contraire à la pratique actuelle, les autorités fiscales disposeraient donc de motifs sérieux pour s’en écarter.</w:t>
      </w:r>
    </w:p>
    <w:p>
      <w:r>
        <w:t>En tout état de cause, cette ancienne jurisprudence ne peut pas être interprétée comme imposant la prise en compte des écarts de conversion dans la détermination du bénéfice imposable. L’état de fait ne permet en effet pas de conclure que l’entreprise concernée disposait d’une monnaie fonctionnelle étrangère au sens où cette notion est utilisée aujourd’hui. L’on sait que la société anonyme concernée administrait des fonds provenant pour la plupart de France et qu’elle devait ainsi comptabiliser, dans ses actifs et passifs, des biens dont la valeur était originairement exprimée en monnaie étrangère. L’on ne peut pas pour autant en déduire que l’intéressée générait et dépensait principalement sa trésorerie dans une monnaie autre que le CHF. D’autres éléments, comme le fait de soutenir des œuvres protestantes, de disposer d’un secrétariat et de tenir sa comptabilité en CHF, permettent au contraire de penser que sa monnaie fonctionnelle était bien le franc suisse. Dans ce cas, l’arrêt de 1954 ne porterait donc pas sur des écarts de conversion positifs, mais bien sur des gains de change effectifs qui, comme par le passé, demeurent imposables au titre de l’impôt sur le bénéfice. 26) En l’espèce, la recourante tient sa comptabilité en USD qui constituent sa monnaie fonctionnelle. La conversion de ses comptes afférents aux exercices litigieux en monnaie suisse de présentation a généré des écarts de change.</w:t>
      </w:r>
    </w:p>
    <w:p>
      <w:r>
        <w:t>Ces derniers ne correspondent pas à des pertes de change que cette entreprise aurait subies lors de transactions opérées dans d’autres monnaies que sa monnaie fonctionnelle et qui figureraient dans ses comptes établis en USD. Il ne s’agit que d’écarts de conversion au sens défini plus haut, soit d’un ajustement comptable apparu lors de la conversion de ses comptes en CHF et dépourvu d’impact réel sur son fonctionnement. Ces écarts de conversion, destinés à équilibrer ses comptes, ne représentent donc pas une dépense justifiée par l’usage commercial.</w:t>
      </w:r>
    </w:p>
    <w:p>
      <w:r>
        <w:t>Conformément à l’art. 58 al. 1 let. b LIFD, l’AFC-GE était, partant, en droit de s’écarter des comptes qui lui étaient présentés et de réintégrer les montants litigieux dans le bénéfice imposable de la recourante. En tant qu’il parvient à la même conclusion, le jugement du TAPI en matière d’IFD doit être confirmé.</w:t>
      </w:r>
    </w:p>
    <w:p>
      <w:r>
        <w:t>ICC 2006 à 2009 27) Selon l’art. 24 al. 1 let. a de la loi fédérale sur l’harmonisation des impôts directs des cantons et des communes du 14 décembre 1990 (LHID - RS 642.14), les cantons doivent imposer l’ensemble du bénéfice net dans lequel doivent</w:t>
      </w:r>
    </w:p>
    <w:p>
      <w:r>
        <w:t>- 22/28 - A/1850/2011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prélèvements énoncés aux lettres b à i de cette même disposition, ainsi que des produits qui n’ont pas été comptabilisés dans le compte de résultat au sens de la let. j. Bien que rédigé différemment, l’art. 12 LIPM a la même portée que l’art. 58 al. 1 LIFD (ATA/337/2013 du 28 mai 2013 ; ATA/633/2011 du 11 octobre 2011 ; ATA/152/2011 du 8 mars 2011).</w:t>
      </w:r>
    </w:p>
    <w:p>
      <w:r>
        <w:t>Toutes les considérations émises ci-dessus pour les taxations IFD litigieuses sont donc également valables pour l’ICC sur le bénéfice. La recourante ne pouvait pas porter en déduction de son bénéfice net ses pertes de conversion. 28) Pour le reste, il n’y a pas de contradiction à ce que ces pertes de conversion soient parallèlement déduites du capital imposable au sens des art. 27 ss LIPM. En admettant cette déduction, l’AFC-GE s’est strictement conformée à la logique de la norme IAS/IFRS 21, à teneur de laquelle les écarts de conversion ne doivent pas avoir d’impact sur le résultat annuel, mais figurer en variation des fonds propres. Son raisonnement ne souffre d’aucune 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w:t>
      </w:r>
    </w:p>
    <w:p>
      <w:r>
        <w:t>Le grief de violation du droit cantonal doit donc être écarté. 29) La deuxième question que pose le présent litige est celle de savoir si les reprises effectuées par l’AFC-GE au titre de capital dissimulé sont justifiées. 30) À teneur de l'art. 27 LIPM, l'impôt sur le capital a pour objet le capital propre.</w:t>
      </w:r>
    </w:p>
    <w:p>
      <w:r>
        <w:t>Le capital propre imposable des sociétés de capitaux et des sociétés coopératives comprend le capital-actions et le capital-participation ou le capital social libéré, les réserves ouvertes et les réserves latentes constituées au moyen de bénéfices imposés (art. 28 LIPM). 31) L’art. 30 LIPM, intitulé « capital propre dissimulé », en vigueur depuis le 1er janvier 1996, reprend le libellé de l’art. 29a LHID. Il prévoit que le capital propre imposable des sociétés de capitaux et des sociétés coopératives est augmenté de la part de leurs fonds étrangers qui est économiquement assimilable au capital propre.</w:t>
      </w:r>
    </w:p>
    <w:p>
      <w:r>
        <w:t>- 23/28 - A/1850/2011</w:t>
      </w:r>
    </w:p>
    <w:p>
      <w:r>
        <w:t>Cette disposition souligne que le mode de financement d’une société au moyen de fonds étrangers n’est pas neutre du point de vue fiscal. En effet, alors qu’un financement par fonds propres produit une double imposition économique du bénéfice (imposition du bénéfice auprès de la société, puis de la distribution de ce bénéfice auprès du porteur de parts) et du capital (imposition des fonds propres auprès de la société et de la fortune auprès du porteur de parts), le financement par le biais de prêts accordés à la société par les actionnaires permet d’atténuer cette double imposition économique ; le bénéfice imposable est réduit de la charge des intérêts passifs des sommes prêtées et le capital imposable est moindre (Danielle YERSIN/Yves NOËL, Commentaire romand sur l’impôt fédéral direct, ad art. 65 LIFD, 2008, p. 867). L’utilisation de ce procédé est connu sous le nom de sous-capitalisation et le capital ainsi réintégré est appelé capital propre dissimulé. 32) Selon le message du Conseil fédéral du 25 mai 1983 relatif à la LHID, il existe un capital propre dissimulé lorsqu’une société est dotée par ses associés de fonds propres minimes, particulièrement inappropriés par rapport à l’ensemble de ses actifs et que le capital propre manquant est complété par des prêts ou des avances de la part des associés. Par ce biais, des moyens financiers qui remplissent économiquement la fonction de fonds propres apparaissent formellement comme des fonds étrangers et les intérêts passifs y relatifs sont débités du compte de résultat, alors qu’il s’agit économiquement d’une distribution de bénéfice (FF 1983 III 1). 33) Bien que la société soit libre de choisir son mode de financement et que de telles pratiques ne violent pas le droit commercial, le législateur a autorisé l’administration fiscale à réintégrer ces fonds étrangers dans le capital propre, lorsque la norme fiscale d’imposition est détournée de son but par de telles pratiques (cf. Mémorial du Grand Conseil, 1995, 35/IV 4185 ss ; Walter RYSER/Bernard ROLLI, Précis de droit fiscal suisse, 2002, p. 275). Afin d’établir si le financement étranger en cause est authentique - soit qu’elle correspond à une réalité économique - il importe d’examiner si un tiers indépendant aurait exposé des fonds aux mêmes risques que le créancier- actionnaire (arrêt du Tribunal fédéral 2P.338/2004 du 26 avril 2006 ; ATA/162/2013 du 12 mars 2013 ; Martin ZWEIFEL/Peter ATHANAS, Kommentar zum schweizerischen Steuerrecht, Bundesgesetz über die Harmonisierung der direkten Steuern der Kantone und Gemeinden [(StHG)], volume I/1, 1997, n. 16 ad art. 29/29a LHID p. 412). Ainsi, constitue du capital dissimulé la portion des prêts que la société a reçue d’un actionnaire (ou d’une personne proche de celui-ci) mais qu’il est peu vraisemblable qu’elle eût pu obtenir de la part d’un tiers.</w:t>
      </w:r>
    </w:p>
    <w:p>
      <w:r>
        <w:t>Il importe ainsi de calculer, sur la base des différents types d’actifs de la société, quels pourcentages de fonds étrangers la société aurait pu se procurer,</w:t>
      </w:r>
    </w:p>
    <w:p>
      <w:r>
        <w:t>- 24/28 - A/1850/2011 selon les usages du marché. À cet égard, il n’est plus requis de la part des autorités fiscales qu’elles établissent l’existence d’un fait constitutif d’évasion fiscale (Walter RYSER /Bernard ROLLI, ibidem). 34) La circulaire pose une présomption s’agissant de ces pourcentages, qui est basée sur des standards professionnels. Elle s’applique, selon son intitulé, à toutes les sociétés de capitaux et les sociétés coopératives, sans aucune distinction. Elle ne prévoit pas de restrictions à son champ d’application selon que les sociétés visées sont ou non actives dans le domaine du négoce ou en raison du secteur particulier de celui-ci. Dans le cadre même de ses dispositions, elle n’aménage un régime particulier qu’en ce qui concerne les sociétés financières pour lesquelles elle retient que la limite admissible des fonds étrangers est fixée en règle générale à 6/7 du total du bilan. Elle prévoit que la société peut usuellement obtenir par ses propres moyens des fonds étrangers à concurrence de certains pourcentages, calculés sur la valeur vénale de ses actifs. Ainsi, le pourcentage de fonds étrangers admis par l'AFC est de 100 % pour les liquidités, de 85 % pour les créances pour livraisons et prestations, les autres créances, les stocks de marchandises et les prêts, de 70 % pour les participations et de 50 % pour les installations, machines, outillages, etc. 35) La société contribuable peut apporter la preuve que, dans son cas particulier, ces pourcentages - qui ne figurent que dans des directives - ne sont pas applicables. En effet,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Zurich 2002, p. 403/404 ; Jean-Marc RIVIER, Droit fiscal suisse, L'imposition du revenu et de la fortune, 2ème éd.,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consid. 4.2.7 ; 2C_47/2009 du 26 mai 2009 consid. 5.3 ; 2A.374/2006 du 30 octobre 2006 consid. 4.2 ; ATA/632/2012 du 18 septembre 2012 consid. 7 ; ATA/95/2012 du 21 février 2012 ; Martin ZWEIFEL, Die Sachverhaltsermittlung im Steuerveranlagungsverfahren, 1989, p. 109 consid. 4.3).</w:t>
      </w:r>
    </w:p>
    <w:p>
      <w:r>
        <w:t>Si,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w:t>
      </w:r>
    </w:p>
    <w:p>
      <w:r>
        <w:t>- 25/28 - A/1850/2011 augmentent la taxation, tandis que le contribuable doit prouver les faits qui diminuent la dette ou la suppriment (arrêt du Tribunal fédéral 2C_111/2012 du 25 juillet 2012 consid. 4.6 ; ATA/778/2011 du 20 décembre 2011 ; ATA/747/2011 du 6 décembre 2011 ; Ernst BLUMENSTEIN/Peter LOCHER, op. cit., p. 416 et les nombreuses références citées).</w:t>
      </w:r>
    </w:p>
    <w:p>
      <w:r>
        <w:t>Par ailleurs, le contribuable doit prouver l'exactitude de sa déclaration d'impôt et de ses explications ultérieures ; on ne peut pas, en revanche, lui demander de prouver un fait négatif et de démontrer, par exemple, qu'il n'a pas d'autres revenus que ceux annoncés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36) En l’espèce, pour contester ces ratios, la recourante se borne à produire un article publiée par la STSA, selon lequel il est usuel que les banques acceptent de financer les transactions sur les matières premières à hauteur de 100 % de la valeur des marchandises.</w:t>
      </w:r>
    </w:p>
    <w:p>
      <w:r>
        <w:t>Cet article, publié par une association de défense des intérêts des sociétés d’échanges commerciaux, écrit non par un expert indépendant mais par un professionnel de ce domaine, ne saurait revêtir une valeur probante suffisante à même de remettre en cause les ratios prévus dans la circulaire, laquelle a par ailleurs été publiée par l’AFC dans son Information aux associations professionnelles n. 6/97 du 9 octobre 1997.</w:t>
      </w:r>
    </w:p>
    <w:p>
      <w:r>
        <w:t>La légalité de cette circulaire a pour le surplus été confirmée par la jurisprudence constante (arrêt du Tribunal fédéral 2A.16/2006 du 23 juin 2006 ; ATA/183/2014 du 25 mars 2014 ; ATA/162/2013 du 12 mars 2013 ; ATA/167/2005 du 22 mars 2005).</w:t>
      </w:r>
    </w:p>
    <w:p>
      <w:r>
        <w:t>Enfin, l’écart abyssal entre les actifs de la recourante pour les années considérées, qui sont globalement supérieurs à CHF 700'000'000.-, et les passifs (constitués du capital social de CHF 100'000.-, des réserves pour CHF 50'000.- et du bénéfice disponible pour CHF 18'000'000.-), plaide en faveur du fait que les</w:t>
      </w:r>
    </w:p>
    <w:p>
      <w:r>
        <w:t>- 26/28 - A/1850/2011 fonds étrangers assument le rôle de fonds propres dans la réalité économique de la société.</w:t>
      </w:r>
    </w:p>
    <w:p>
      <w:r>
        <w:t>Pour ces motifs, il y a lieu de s'en tenir aux ratios prévus par la circulaire et de rejeter, par conséquent, le ratio forfaitaire de 93 % sollicité par la recourante. 37) La recourante demande que les dividendes à verser aux actionnaires ne soient pas considérés comme des dettes à prendre en compte dans le calcul du capital propre dissimulé.</w:t>
      </w:r>
    </w:p>
    <w:p>
      <w:r>
        <w:t>L’assemblée générale d’une société anonyme détermine librement l’emploi du bénéfice résultant du bilan et des réserves constituées en vue d’une distribution (Jean-Marc RIVIER, La fiscalité de l’entreprise, 1994, p. 264). Tout actionnaire a droit à une part du bénéfice résultant du bilan, pour autant que les règles légales et statutaires aient été respectées (art. 660 al. 1 CO). Par conséquent, le dividende tel que fixé par l’assemblée générale doit être considéré comme une dette de la société à l’égard de ses actionnaires sur le plan fiscal dans le cadre de la détermination de l’existence d’un capital dissimulé. Il n’est dès lors pas possible d’exclure totalement le dividende de la répartition des passifs entre fonds propres imposables et fonds étrangers (ATA/167/2005 du 22 mars 2005 consid. 4).</w:t>
      </w:r>
    </w:p>
    <w:p>
      <w:r>
        <w:t>Le fait que les dividendes ne portent pas intérêts n’empêche pas de les considérer comme du capital propre dissimulé (circulaire, par. 3.2).</w:t>
      </w:r>
    </w:p>
    <w:p>
      <w:r>
        <w:t>Ce grief sera ainsi rejeté. 38) La recourante considère que les dettes commerciales intragroupes à court terme et les créances à court terme (trente jours) ne peuvent constituer du capital propre dissimulé.</w:t>
      </w:r>
    </w:p>
    <w:p>
      <w:r>
        <w:t>Selon la jurisprudence, les dettes et créances commerciales liées aux fournisseurs appartenant au groupe doivent s’appréhender selon la réalité économique et non selon leur libellé. Lorsqu’elles dépassent largement le seuil d’endettement admis par la circulaire, il doit être admis qu’elles financent en réalité l’activité de la société, comme le feraient des fonds propres (ATA/167/2005 précité).</w:t>
      </w:r>
    </w:p>
    <w:p>
      <w:r>
        <w:t>Bien que le message du Conseil fédéral de 1983 mentionné ci-dessus fasse expressément référence à des prêts ou avances d’actionnaires ou d’associés, il faut, d’un point de vue économique, comprendre cette notion de manière générale et l’étendre à tout financement, quelle que soit sa nature. Le but de la loi ressort des travaux préparatoires, à savoir éviter une sous-capitalisation permettant d’éluder l’impôt sur le capital et sur le bénéfice par le biais d’un financement propre au sein du groupe, les dettes en faveur de sociétés du groupe représentant précisément un financement interne de la contribuable.</w:t>
      </w:r>
    </w:p>
    <w:p>
      <w:r>
        <w:t>- 27/28 - A/1850/2011</w:t>
      </w:r>
    </w:p>
    <w:p>
      <w:r>
        <w:t>En effet, si l’on établissait une distinction en fonction de la nature du financement par les actionnaires, les associés ou les personnes qui leur sont proches, il en résulterait une contradiction avec la volonté du législateur, une inégalité de traitement, ainsi qu’un encouragement au financement de sociétés par le biais de dettes commerciales à court terme (ATA/167/2005 précité).</w:t>
      </w:r>
    </w:p>
    <w:p>
      <w:r>
        <w:t>Par ailleurs, il serait fiscalement discriminatoire d’admettre un financement sans limite par le biais de dettes commerciales liées, exigibles à court terme d’une part, et de requalifier en capital propre dissimulé le financement fiscalement non admis par rapport aux actifs et obtenu au moyen de fonds étrangers à long terme, d’autre part. Ceci reviendrait à encourager la soustraction d’une partie de l’impôt sur le capital et sur le bénéfice dans le premier cas et à l’éviter dans le second. Une telle pratique n’est pas admissible.</w:t>
      </w:r>
    </w:p>
    <w:p>
      <w:r>
        <w:t>Enfin, ni les lois fédérales et cantonales, ni les travaux préparatoires, ni même la circulaire n’établissent de distinction entre les divers modes de financement, ni ne prévoient d’exception. La jurisprudence ne peut pas créer d’exception ne correspondant pas à la volonté du législateur. Par ailleurs, il n’est pas contesté que les dettes et les créances litigieuses sont à l’égard d’actionnaires, soit en l’occurrence de sociétés appartenant au groupe. Il se justifie dès lors de prendre en compte les dettes et les créances à court terme liées aux fournisseurs du groupe dans le calcul du capital propre dissimulé, dans la mesure où elles représentent un financement de la contribuable par des actionnaires, associés ou personnes proches.</w:t>
      </w:r>
    </w:p>
    <w:p>
      <w:r>
        <w:t>Partant, la détermination du capital propre dissimulé faite par l’AFC en l’espèce est correcte. 39) En tous points mal fondé, le recours sera rejeté. Vu l’issue du litige, un émolument de CHF 3'000.- sera mis à la charge de la recourante, qui succombe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