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ATA/762/2022 vom 27. Juli 2022</w:t>
      </w:r>
    </w:p>
    <w:p>
      <w:r>
        <w:t>GE Cour de justice, 2022-07-27, FR</w:t>
      </w:r>
    </w:p>
    <w:p>
      <w:r>
        <w:rPr>
          <w:b/>
        </w:rPr>
        <w:t xml:space="preserve">Quelle: </w:t>
      </w:r>
      <w:r>
        <w:t>https://mcp.opencaselaw.ch/entscheid/ge_gerichte_ATA_762_2022</w:t>
      </w:r>
    </w:p>
    <w:p>
      <w:r>
        <w:t>FR: GE_GERICHTE ATA/762/2022 du 27 juillet 2022</w:t>
      </w:r>
    </w:p>
    <w:p>
      <w:r>
        <w:t>IT: GE_GERICHTE ATA/762/2022 del 27 luglio 2022</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de la loi sur la procédure administrative du 12 septembre 1985 (LPA - E 5 10), délai qui a été observé en l’occurrence.</w:t>
      </w:r>
    </w:p>
    <w:p>
      <w:r>
        <w:t>b. Selon l'art. 57 LPA, le recours contre une décision incidente est recevable si un dommage irréparable peut être causé. Tel est le cas en l'espèce, le renvoi du recourant à l'étranger pouvant causer un tel dommage (ATA/1332/2020 du 22 décembre 2020 consid. 1b ; ATA/634/2020 du 30 juin 2020 consid. 1 b ; ATA/453/2020 du 7 mai 2020 consid. 1b et les références citées).</w:t>
      </w:r>
    </w:p>
    <w:p>
      <w:r>
        <w:t>Le recours est ainsi recevable. 2) a. 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w:t>
      </w:r>
    </w:p>
    <w:p>
      <w:r>
        <w:t>Les demandes en reconsidération n’entraînent ni interruption de délai ni effet suspensif (art. 48 al. 2 LPA).</w:t>
      </w:r>
    </w:p>
    <w:p>
      <w:r>
        <w:t>b. Lorsque l'effet suspensif a été retiré ou n'est pas prévu par la loi, l'autorité de recours doit examiner si les raisons pour exécuter immédiatement la décision entreprise sont plus importantes que celles justifiant le report de son exécution.</w:t>
      </w:r>
    </w:p>
    <w:p>
      <w:r>
        <w:t>- 7/11 - A/1079/2022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c.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 consid. 3a ; ATA/70/2014 du 5 février 2014 consid. 4b ; ATA/603/2011 du 23 septembre 2011 consid. 2).</w:t>
      </w:r>
    </w:p>
    <w:p>
      <w:r>
        <w:t>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w:t>
      </w:r>
    </w:p>
    <w:p>
      <w:r>
        <w:t>d. En l’espèce, le recourant fait l’objet d’une décision définitive et exécutoire de renvoi. La décision de l’OCPM constitue un refus d'entrer en matière sur une demande de reconsidération. N’étant plus en possession d'un droit de séjour, la restitution de l'effet suspensif demeurerait sans portée. Le TAPI a donc, à juste titre, traité sa requête comme une requête de mesures provisionnelles. 3) a. L'autorité peut d'office ou sur requête ordonner des mesures provisionnelles en exigeant au besoin des sûretés (art. 21 al. 1 LPA).</w:t>
      </w:r>
    </w:p>
    <w:p>
      <w:r>
        <w:t>- 8/11 - A/1079/2022</w:t>
      </w:r>
    </w:p>
    <w:p>
      <w:r>
        <w:t>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w:t>
      </w:r>
    </w:p>
    <w:p>
      <w:r>
        <w:t>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t>c. En l’espèce, le recourant fait valoir que le prononcé de mesures provisionnelles se justifierait du fait qu’il n’aurait pas accès aux soins appropriés en Côte d’Ivoire.</w:t>
      </w:r>
    </w:p>
    <w:p>
      <w:r>
        <w:t>Or, dans sa jurisprudence, le Tribunal administratif fédéral (ci-après : TAF) a retenu que l’exécution du renvoi d’une personne infectée par le HIV est en principe raisonnablement exigible tant que la maladie n’a pas atteint le stade C (arrêts E-2159/2015 du 16 juin 2015 consid. 5.3.2 et F-6988/2016 du 4 août 2017 consid. 4.3.5), ce qui à teneur des certificats médicaux produits en l’espèce n’est pas le cas, la maladie en étant au stade de la primo-infection.</w:t>
      </w:r>
    </w:p>
    <w:p>
      <w:r>
        <w:t>Le TAF a également retenu qu’en Côte d’Ivoire, l’accès gratuit au traitement du VIH est disponible (arrêts du TAF E-2276/2017 du 27 mars 2019 consid. 5.5. et 5.6 et les références citées).</w:t>
      </w:r>
    </w:p>
    <w:p>
      <w:r>
        <w:t>- 9/11 - A/1079/2022</w:t>
      </w:r>
    </w:p>
    <w:p>
      <w:r>
        <w:t>Le recourant ne soutient, en outre, pas que dans l’hypothèse où il devrait attendre l’issue de sa procédure de reconsidération en Côte d’Ivoire, il ne pourrait pas se constituer un stock de Symtuza avant son départ.</w:t>
      </w:r>
    </w:p>
    <w:p>
      <w:r>
        <w:t>Par ailleurs, il dispose encore de contacts dans son pays d’origine comme le démontrent les nombreux visas de retour sollicités.</w:t>
      </w:r>
    </w:p>
    <w:p>
      <w:r>
        <w:t>Enfin, dans la mesure où le recourant reconnaît que sa maladie avait déjà été diagnostiquée lors de la procédure s’étant terminée par l’arrêt du Tribunal fédéral du 19 mai 2021, mais qu’il avait choisi de ne pas en faire état, les chances de succès de sa demande en reconsidération, notamment au regard de l’existence d’un fait nouveau exigé par l’art. 48 LPA, ne paraissent, a priori, pas à ce point manifestes qu’elles justifieraient à elles seules l’octroi de mesures provisionnelles.</w:t>
      </w:r>
    </w:p>
    <w:p>
      <w:r>
        <w:t>Ainsi, au vu de l’ensemble des éléments qui précèdent, le TAPI n’a pas abusé de son pouvoir d’appréciation en refusant les mesures sollicitées.</w:t>
      </w:r>
    </w:p>
    <w:p>
      <w:r>
        <w:t>Mal fondé, le recours sera ainsi rejeté. 4)</w:t>
      </w:r>
    </w:p>
    <w:p>
      <w:r>
        <w:t>Le recourant plaidant au bénéfice de l’assistance juridique, il ne sera pas perçu d’émolument (art. 87 al. 1 LPA et 13 du règlement sur les frais, émoluments et indemnités en procédure administrative du 30 juillet 1986 (RFPA - E 5 10.03) . Vu l’issue du litige, il ne peut se voir allouer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