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ATA/761/2018 vom 20. Juli 2018</w:t>
      </w:r>
    </w:p>
    <w:p>
      <w:r>
        <w:t>GE Cour de justice, 2018-07-20, FR</w:t>
      </w:r>
    </w:p>
    <w:p>
      <w:r>
        <w:rPr>
          <w:b/>
        </w:rPr>
        <w:t xml:space="preserve">Quelle: </w:t>
      </w:r>
      <w:r>
        <w:t>https://mcp.opencaselaw.ch/entscheid/ge_gerichte_ATA_761_2018</w:t>
      </w:r>
    </w:p>
    <w:p>
      <w:r>
        <w:t>FR: GE_GERICHTE ATA/761/2018 du 20 juillet 2018</w:t>
      </w:r>
    </w:p>
    <w:p>
      <w:r>
        <w:t>IT: GE_GERICHTE ATA/761/2018 del 20 luglio 2018</w:t>
      </w:r>
    </w:p>
    <w:p>
      <w:pPr>
        <w:pStyle w:val="Heading2"/>
      </w:pPr>
      <w:r>
        <w:t>Erwägungen</w:t>
      </w:r>
    </w:p>
    <w:p>
      <w:r>
        <w:rPr>
          <w:b/>
        </w:rPr>
        <w:t>E. 23</w:t>
      </w:r>
    </w:p>
    <w:p>
      <w:r>
        <w:t>novembre 2016 consid. 4a). Tel est notamment le cas du vol (art. 139 CP) et du recel (art. 144 CP).</w:t>
      </w:r>
    </w:p>
    <w:p>
      <w:r>
        <w:t>b.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- 6/8 - A/2150/2018</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w:t>
      </w:r>
    </w:p>
    <w:p>
      <w:r>
        <w:t>En l’espèce, pour ce qui est du principe de la détention administrative du recourant, les conditions d’application de l’art. 76 al. 1 let. b ch. 3 et 4 LEtr ainsi que de l’art. 76 al. 1 let. b ch. 1 LEtr, qui renvoie notamment à l’art. 75 al. 1 let. h LEtr, ne sont pas contestées par l’intimé. Ce à juste titre, la chambre de céans faisant sur ce point siens les considérants du TAPI.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LEtr, les démarches nécessaires à l’exécution du renvoi ou de l’expulsion doivent être entreprises sans tarder. 8)</w:t>
      </w:r>
    </w:p>
    <w:p>
      <w:r>
        <w:t>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 9)</w:t>
      </w:r>
    </w:p>
    <w:p>
      <w:r>
        <w:t>En l’occurrence, le recourant fait grief au TAPI d’avoir ramené de quatre à trois mois la durée de la mesure et soutient qu’il ne sera pas en mesure d’exécuter le renvoi dans ce délai en raison des contraintes imposées notamment par les autorités algériennes.</w:t>
      </w:r>
    </w:p>
    <w:p>
      <w:r>
        <w:t>À cet égard, on relèvera que le SEM a informé les autorités genevoises en janvier 2018 que l’intimé, alors en détention pénale, avait été identifié par les autorités algériennes compétentes, d’une part et, d’autre part, qu’il ressort des pièces du dossier qu’à tout le moins depuis sa dernière arrestation en septembre</w:t>
      </w:r>
    </w:p>
    <w:p>
      <w:r>
        <w:t>- 7/8 - A/2150/2018 2017, l’existence de problèmes et de suivi psychiatriques était connue. Ce n’est toutefois que le 23 mars 2018 que la demande d’inscription pour un vol le 21 juin 2018 a été faite, sans mentionner le moindre problème de santé sous les rubriques des données médicales. Ces éléments amènent à nuancer l’appréciation du recourant quant à la gestion des délais minimaux nécessaires pour l’exécution du renvoi de l’intimé.</w:t>
      </w:r>
    </w:p>
    <w:p>
      <w:r>
        <w:t>Par ailleurs, l’échéance de la détention administrative le 25 septembre 2018 intervient une semaine seulement avant la première date que le recourant estime utile pour exécuter le renvoi, de sorte qu’il n’est pas exclu que celui-ci puisse intervenir d’ici dite échéance, ce d’autant que l’intimé a déclaré devant le TAPI qu’il était d’accord de retourner en Algérie. En effet, il ressort d’une communication du SEM relative aux conséquences des contraintes imposées par les autorités algériennes et leur compagnie aérienne, qu’une solution « plus rapide » peut être mise en place pour les personnes acceptant de partir.</w:t>
      </w:r>
    </w:p>
    <w:p>
      <w:r>
        <w:t>En définitive, au vu de l’ensemble des circonstances de ce cas, si le TAPI s’est montré strict quant à la proportionnalité de la durée de la mesure, il n’est pas allé au-delà de ce que lui permettait son pouvoir d’appréciation.</w:t>
      </w:r>
    </w:p>
    <w:p>
      <w:r>
        <w:t>Au vu de ce qui précède, le recours sera rejeté. 10) La procédure étant gratuite (art. 12 du règlement sur les frais, émoluments et indemnités en procédure administrative du 30 juillet 1986 - RFPA - E 5 10.03), aucun émolument de procédure ne sera perçu (art. 87 al. 1 LPA).</w:t>
      </w:r>
    </w:p>
    <w:p>
      <w:r>
        <w:t>Vu l’issue du litige, une indemnité de procédure de CHF 500.- sera allouée à l’intimé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