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ATA/759/2012 vom 6. November 2012</w:t>
      </w:r>
    </w:p>
    <w:p>
      <w:r>
        <w:t>GE Cour de justice, 2012-11-06, FR</w:t>
      </w:r>
    </w:p>
    <w:p>
      <w:r>
        <w:rPr>
          <w:b/>
        </w:rPr>
        <w:t xml:space="preserve">Quelle: </w:t>
      </w:r>
      <w:r>
        <w:t>https://mcp.opencaselaw.ch/entscheid/ge_gerichte_ATA_759_2012</w:t>
      </w:r>
    </w:p>
    <w:p>
      <w:r>
        <w:t>FR: GE_GERICHTE ATA/759/2012 du 6 novembre 2012</w:t>
      </w:r>
    </w:p>
    <w:p>
      <w:r>
        <w:t>IT: GE_GERICHTE ATA/759/2012 del 6 novembre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et ss. ;</w:t>
      </w:r>
    </w:p>
    <w:p>
      <w:r>
        <w:t>- 5/8 - A/2395/2012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w:t>
      </w:r>
    </w:p>
    <w:p>
      <w:r>
        <w:t>e. Quand bien même la recourante a exécuté la mesure contestée, la situation pourrait se présenter à nouveau. Dès lors, la chambre administrative renoncera à l'exigence de l'intérêt actuel pour statuer (ATA/418/2012 du 3 juillet 2012 consid. 2e ; ATA/266/2009 du 26 mai 2009).</w:t>
      </w:r>
    </w:p>
    <w:p>
      <w:r>
        <w:rPr>
          <w:b/>
        </w:rPr>
        <w:t>E. 3</w:t>
      </w:r>
    </w:p>
    <w:p>
      <w:r>
        <w:t>Dans un grief d'ordre formel qu'il convient d'examiner liminairement (Arrêt du Tribunal fédéral 8C_449/2011 du 6 juin 2012 consid. 2.2.1), la recourante se plaint de la violation de son droit d'être entendue, car la sanction lui aurait été notifiée non pas le 28 juin 2012, mais le 1er juillet 2012, alors qu'elle l'avait déjà exécutée.</w:t>
      </w:r>
    </w:p>
    <w:p>
      <w:r>
        <w:rPr>
          <w:b/>
        </w:rPr>
        <w:t>E. 4</w:t>
      </w:r>
    </w:p>
    <w:p>
      <w:r>
        <w:t>La procédure administrative est conduite par le juge selon le principe de la maxime d’office (recte :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w:t>
      </w:r>
    </w:p>
    <w:p>
      <w:r>
        <w:t>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136 I 229 consid. 5.3 ;</w:t>
      </w:r>
    </w:p>
    <w:p>
      <w:r>
        <w:t>- 6/8 - A/2395/2012 134 I 140 consid. 5.3 ; 131 I 153 consid. 3 p. 158 ; 130 I 425 consid. 2.1 p. 428 ; ATA/275/2012 du 8 mai 2012 ; ATA/655/2010 du 21 septembre 2010 et les références citées).</w:t>
      </w:r>
    </w:p>
    <w:p>
      <w:r>
        <w:rPr>
          <w:b/>
        </w:rPr>
        <w:t>E. 5</w:t>
      </w:r>
    </w:p>
    <w:p>
      <w:r>
        <w:t>En l'espèce, la version des faits livrée par la recourante n’est pas crédible. Elle indique en effet avoir terminé l'exécution de sa sanction le 1er juillet 2012, alors que la fin de celle-ci était prévue le 30 juin 2012 à 7h30 ; ce faisant, elle n'allègue nullement que la sanction aurait duré trois jours, si bien qu'elle se trompe manifestement sur ce point. De plus, elle allègue être « tombée par hasard » sur la décision, sans donner aucune explication à ce sujet.</w:t>
      </w:r>
    </w:p>
    <w:p>
      <w:r>
        <w:t>La chambre de céans n'a donc aucun motif de s’écarter de la version des faits présentée par la prison, et documentée par pièces, selon laquelle la détenue a reçu oralement notification de la sanction le 28 juin vers 9h20, a reçu une notification écrite en cellule forte le même jour vers 18h30, et a exécuté la sanction jusqu'au 30 juin 2012 à 7h30.</w:t>
      </w:r>
    </w:p>
    <w:p>
      <w:r>
        <w:t>Le grief doit ainsi être écarté.</w:t>
      </w:r>
    </w:p>
    <w:p>
      <w:r>
        <w:rPr>
          <w:b/>
        </w:rPr>
        <w:t>E. 6</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 Il lui est notamment interdit de faire du bruit et, d’une manière générale, de troubler l’ordre et la tranquillité de la prison (art. 45 let. a et h RRIP).</w:t>
      </w:r>
    </w:p>
    <w:p>
      <w:r>
        <w:rPr>
          <w:b/>
        </w:rPr>
        <w:t>E. 7</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- 7/8 - A/2395/2012 f) placement en cellule forte pour cinq jours au plus (art. 47 al. 3 RRIP), étant précisé que ces sanctions peuvent se cumuler (art. 47 al. 4 RRIP).</w:t>
      </w:r>
    </w:p>
    <w:p>
      <w:r>
        <w:rPr>
          <w:b/>
        </w:rPr>
        <w:t>E. 8</w:t>
      </w:r>
    </w:p>
    <w:p>
      <w:r>
        <w:t>En l’espèce, le rapport de Mme Y______ est conforté par le témoignage de l'infirmière Mme B______. Mme X______ présente les faits à son avantage en déclarant ne pas avoir traité l'infirmière de menteuse, et n'avoir fait que « tapoter » sur la porte, alors qu’elle a bien tenu ces propos et frappé la porte de manière audible.</w:t>
      </w:r>
    </w:p>
    <w:p>
      <w:r>
        <w:t>De par ces comportements, Mme X______ n'a pas observé une attitude correcte vis-à-vis du personnel de l'établissement, a fait du bruit et troublé l'ordre et la tranquillité de la prison, contrevenant ainsi aux art. 44 et 45 let. a RRIP.</w:t>
      </w:r>
    </w:p>
    <w:p>
      <w:r>
        <w:rPr>
          <w:b/>
        </w:rPr>
        <w:t>E. 9</w:t>
      </w:r>
    </w:p>
    <w:p>
      <w:r>
        <w:t>Ces agissements sont de gravité fort moyenne. Ils ne constituaient toutefois pas les premiers manquements de la recourante ; dès lors, la sanction de deux jours de cellule forte, quoique relativement sévère, respecte encore le principe de proportionnalité.</w:t>
      </w:r>
    </w:p>
    <w:p>
      <w:r>
        <w:rPr>
          <w:b/>
        </w:rPr>
        <w:t>E. 10</w:t>
      </w:r>
    </w:p>
    <w:p>
      <w:r>
        <w:t>Mal fondé, le recours sera rejeté.</w:t>
      </w:r>
    </w:p>
    <w:p>
      <w:r>
        <w:t>Vu la nature du litige, aucun émolument ne sera perçu, ni aucune indemnité de procédure allouée (art. 87 LPA ;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