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ATA/758/2025 vom 8. Juli 2025</w:t>
      </w:r>
    </w:p>
    <w:p>
      <w:r>
        <w:t>GE Cour de justice, 2025-07-08, FR</w:t>
      </w:r>
    </w:p>
    <w:p>
      <w:r>
        <w:rPr>
          <w:b/>
        </w:rPr>
        <w:t xml:space="preserve">Quelle: </w:t>
      </w:r>
      <w:r>
        <w:t>https://mcp.opencaselaw.ch/entscheid/ge_gerichte_ATA_758_2025</w:t>
      </w:r>
    </w:p>
    <w:p>
      <w:r>
        <w:t>FR: GE_GERICHTE ATA/758/2025 du 8 juillet 2025</w:t>
      </w:r>
    </w:p>
    <w:p>
      <w:r>
        <w:t>IT: GE_GERICHTE ATA/758/2025 del 8 luglio 2025</w:t>
      </w:r>
    </w:p>
    <w:p>
      <w:pPr>
        <w:pStyle w:val="Heading2"/>
      </w:pPr>
      <w:r>
        <w:t>Regeste</w:t>
      </w:r>
    </w:p>
    <w:p>
      <w:r>
        <w:t>Résumé: Admission partielle d’un recours déposé contre un jugement du TAPI, en raison de l’acquisition de la prescription du droit de procéder au rappel d’impôt pour une année fiscale et confirmation des décisions de reprises d’impôts et des amendes. La contribuable, société de conseil en matière de gestion de fortune, a déclaré les bénéfices liés à une activité de conseil pour les sociétés de gestion successive offshore d’un fond de placement collectif de capitaux, enregistré aux Îles Cayman. Des éléments qui ressortaient de pièces figurant dans un dossier de tiers et soumises au secret fiscal, démontrait la mise en place d’un système permettant la redistribution à des proches des montants encaissés par les structures qui apparaissaient comme gestionnaires du fond, réalisant ainsi une évasion fiscale. Confirmation de l’analyse faite par l’AFC-GE menant à la reprise dans le bénéfice imposable de la contribuable des commissions de gestion et de performance réalisées par les entités offshore.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[LIFD - RS 642.11] ; art. 7 al. 2 de la loi de procédure fiscale du</w:t>
      </w:r>
    </w:p>
    <w:p>
      <w:r>
        <w:rPr>
          <w:b/>
        </w:rPr>
        <w:t>E. 4</w:t>
      </w:r>
    </w:p>
    <w:p>
      <w:r>
        <w:t>La recourante fait valoir une violation de son droit d’être entendue en lien avec des pièces couvertes par le secret fiscal, l’AFC-GE ayant fait une interprétation de ces pièces et non un résumé objectif.</w:t>
      </w:r>
    </w:p>
    <w:p>
      <w:r>
        <w:rPr>
          <w:b/>
        </w:rPr>
        <w:t>E. 4.1</w:t>
      </w:r>
    </w:p>
    <w:p>
      <w:r>
        <w:t>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4.2</w:t>
      </w:r>
    </w:p>
    <w:p>
      <w:r>
        <w:t>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t>- 19/30 - A/3793/2023</w:t>
      </w:r>
    </w:p>
    <w:p>
      <w:r>
        <w:rPr>
          <w:b/>
        </w:rPr>
        <w:t>E. 4.3</w:t>
      </w:r>
    </w:p>
    <w:p>
      <w:r>
        <w:t>En matière d'ICC, c'est l’art. 17 LPFisc, qui fixe les règles fiscales en matière de consultation des dossiers fiscaux est applicable par renvoi de l'art. 86 LPFisc qui reprend les principes décrits ci-dessus. Il prévoit ainsi que le contribuable peut prendre connaissance des autres pièces du dossier une fois les faits établis et à condition que la sauvegarde d'intérêts publics ou privés ne s'y oppose pas. En matière d'IFD, les principes sont identiques (art. 114 LIFD ; arrêt du Tribunal fédéral 2C_133/2020 du 15 juillet 2020 consid. 3.1). Ainsi, le droit de consulter les pièces peut être supprimé ou limité dans la mesure où l'intérêt public ou l'intérêt prépondérant de tiers, voire du requérant lui-même exigent que tout ou partie des documents soient tenus secrets (ATF 126 I 7 consid. 2b ; 122 I 153 consid. 6a).</w:t>
      </w:r>
    </w:p>
    <w:p>
      <w:r>
        <w:rPr>
          <w:b/>
        </w:rPr>
        <w:t>E. 4.4</w:t>
      </w:r>
    </w:p>
    <w:p>
      <w:r>
        <w:t>Lorsque l’autorité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w:t>
      </w:r>
    </w:p>
    <w:p>
      <w:r>
        <w:rPr>
          <w:b/>
        </w:rPr>
        <w:t>E. 4.5</w:t>
      </w:r>
    </w:p>
    <w:p>
      <w:r>
        <w:t>Une décision entreprise pour violation du droit d’être entendu n’est en principe pas nulle mais annulable (ATF 143 IV 380 consid. 1.4.1 ; arrêt du Tribunal fédéral 1C_31/2021 du 16 juillet 2021 consid. 2.1 ; ATA/547/2021 du 25 mai 2021 consid. 6a et les références).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Ainsi,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4.6</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Elle dépend toutefois de la gravité et de l'étendue de l'atteinte portée au droit d'être entendu et doit rester l'exception (ATF 142 II 218</w:t>
      </w:r>
    </w:p>
    <w:p>
      <w:r>
        <w:t>- 20/30 - A/3793/2023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4.7</w:t>
      </w:r>
    </w:p>
    <w:p>
      <w:r>
        <w:t>En l’espèce, la question de la consultation des pièces soumises au secret fiscal a déjà donné lieu a une procédure incidente, conclue par un jugement du TAPI du 23 janvier 2023 admettant partiellement le recours. Certaines pièces, soumises au secret fiscal, devaient être plus détaillées et le contenu essentiel des pièces 22 à 24, 28 à 32, 58 et 59 devait être communiqué. Donnant suite à ce jugement, l’AFC-GE a remis une version plus détaillée du contenu des pièces concernées à la recourante, le 10 mai 2023, dans le cadre de la procédure sur réclamation. Dans son recours au TAPI, la recourante a fait grief à l’AFC-GE de n’avoir pas respecté le jugement du 23 janvier 2023, critiquant les résumés remis. Le TAPI a procédé à l’examen des documents produits sous couvert du secret fiscal et constaté que la description des pièces communiquées à la recourante était correcte et résumée de manière suffisamment détaillée pour qu’il soit retenu que leur contenu essentiel avait bien été transmis et que la recourante était donc en mesure d’exercer son droit d’être entendue et les pièces, valablement versées à la procédure, pouvaient servir de moyen de preuve à l’appui des allégués de l’AFC-GE. À cela, la recourante oppose dans le présent recours que le résumé fait de la pièce 59 était un « interprétation » faite par l’AFC-GE et non un résumé objectif de documents. Or, à la lecture des documents et du résumé, il appert qu’aucune « interprétation » n’a été faite par l’AFC-GE, le résumé reflétant exactement le contenu des pièces soumises au secret fiscal. Tout élément supplémentaire du contenu des pièces concernées qui serait dévoilé violerait le secret fiscal et contrairement à ce qu’affirme la recourante, la crédibilité de ces pièces ne saurait ainsi être remise en question. C’est à juste titre que le TAPI a retenu que le droit d’être entendue de la recourante avait été pleinement respecté, au moins dans la procédure de recours. Finalement sur ce point, la recourante estime que la production du tableau explicatif détaillant le calcul des montants retenus dans les reprises devant le TAPI avait violé son droit d’être entendue. Or, elle a pu se déterminer sur le document en question à plusieurs reprises au cours de la procédure devant le TAPI. Elle a d’ailleurs contesté plusieurs des montants y figurant. En conséquence, le grief sera écarté.</w:t>
      </w:r>
    </w:p>
    <w:p>
      <w:r>
        <w:t>- 21/30 - A/3793/2023</w:t>
      </w:r>
    </w:p>
    <w:p>
      <w:r>
        <w:rPr>
          <w:b/>
        </w:rPr>
        <w:t>E. 5</w:t>
      </w:r>
    </w:p>
    <w:p>
      <w:r>
        <w:t>mars 2004 consid. 5 ; ATA/119/2019 précité consid. 8 et les références citées).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w:t>
      </w:r>
    </w:p>
    <w:p>
      <w:r>
        <w:rPr>
          <w:b/>
        </w:rPr>
        <w:t>E. 5.1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5e tiret).</w:t>
      </w:r>
    </w:p>
    <w:p>
      <w:r>
        <w:rPr>
          <w:b/>
        </w:rPr>
        <w:t>E. 5.2</w:t>
      </w:r>
    </w:p>
    <w:p>
      <w:r>
        <w:t>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en 2008 et qui correspond sur ce point à l’art. 58 al. 1 let. a et b LIFD.</w:t>
      </w:r>
    </w:p>
    <w:p>
      <w:r>
        <w:rPr>
          <w:b/>
        </w:rPr>
        <w:t>E. 5.3</w:t>
      </w:r>
    </w:p>
    <w:p>
      <w:r>
        <w:t>Selon la jurisprudence, il y a distribution dissimulée de bénéfice constitutive de prestation appréciable en argent lorsque les quatre conditions cumulatives suivantes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w:t>
      </w:r>
    </w:p>
    <w:p>
      <w:r>
        <w:rPr>
          <w:b/>
        </w:rPr>
        <w:t>E. 5.4</w:t>
      </w:r>
    </w:p>
    <w:p>
      <w:r>
        <w:t>Il convient ainsi d’examiner si la prestation aurait été accordée dans la même mesure à un tiers étranger à la société, soit si la transaction a respecté le principe de pleine concurrence (dealing at arm’s length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w:t>
      </w:r>
    </w:p>
    <w:p>
      <w:r>
        <w:rPr>
          <w:b/>
        </w:rPr>
        <w:t>E. 5.5</w:t>
      </w:r>
    </w:p>
    <w:p>
      <w:r>
        <w:t>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w:t>
      </w:r>
    </w:p>
    <w:p>
      <w:r>
        <w:t>- 22/30 - A/3793/2023 ou qu’elle n’obtient pas, pour la prestation qu’elle a effectuée, la contre-prestation qu’elle aurait exigée d’un tiers (ATF 138 II 57 consid. 2.2 ; arrêt du Tribunal fédéral 2C_377/2014 du 26 mai 2015 consid. 9.4.1 ; ATA/533/2021 du 18 mai 2021 consid. 5b).</w:t>
      </w:r>
    </w:p>
    <w:p>
      <w:r>
        <w:rPr>
          <w:b/>
        </w:rPr>
        <w:t>E. 5.6</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(Xavier OBERSON, Droit fiscal suisse, 4e éd., 2012, p. 513 ss ; Peter AGNER/Beat JUNG/Gotthard STEINMANN, Commentaire de la loi sur l'impôt fédéral direct, 2001, p. 421 n. 2 ad art. 130 ; Isabelle ALTHAUS- HOURIET in Yves NOËL/Florence AUBRY GIRARDIN, Impôt fédéral direct, Commentaire de la loi sur l’impôt fédéral direct, 2e éd., 2017, p. 1637 ss n. 4 ss ad art. 123).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7e éd., 2016, p. 502 s. ; Jean-Marc RIVIER, Droit fiscal suisse, L'imposition du revenu et de la fortune, 2e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2C_710/2016 du 25 août 2016 consid. 6.2 ; 2C_47/2009 du 26 mai 2009 in RDAF 2009 II 408 consid. 5 et les références citées ; ATA/38/2023 du 17 janvier 2023 consid. 2h).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 ATA/685/2021 du 29 juin 2021 consid. 8b ; Ernst BLUMENSTEIN/Peter LOCHER, op. cit., p. 518 et les références citées). Par ailleurs, le contribuable doit prouver l'exactitude de sa déclaration d'impôts et de ses explications ultérieures. On ne peut pas, en revanche, lui demander de prouver un fait négatif et de démontrer, par exemple, qu'il n'a pas d'autres revenus que ceux annoncés (ATF 121 II 257 consid. 4c/aa ; arrêt du Tribunal fédéral 2C_960/2016 du 15 juin 2017 consid. 5.1</w:t>
      </w:r>
    </w:p>
    <w:p>
      <w:r>
        <w:t>- 23/30 - A/3793/2023 et les références citées ; ATA/119/2019 du 5 février 2019 consid. 8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(ATF 121 II 257 précité ; arrêt du Tribunal fédéral 2C_722/2017 du 13 décembre 2017 consid. 5.2 et les références citées ; ATA/119/2019 précité consid. 8). Ce dernier devra justifier l'origine des montants non déclarés et il pourra même être obligé de fournir des renseignements supplémentaires sur les rapports contractuels mis à jour par l'autorité fiscale et sur les prestations qui en découlent (ATF 121 II 257 précité ; arrêt du Tribunal fédéral 2A.374/2006 du 30 octobre 2006 consid. 4.2 ; ATA/119/2019 précité consid. 8). L’omission ou l’échec de ces preuves contraires peut être considéré comme un indice suffisant de la véracité des allégations de la partie adverse si ces dernières paraissent vraisemblables (arrêts du Tribunal fédéral 2A.373/2003 du 1er avril 2004 consid. 3.2.2 ; 2A.483/2003 du</w:t>
      </w:r>
    </w:p>
    <w:p>
      <w:r>
        <w:rPr>
          <w:b/>
        </w:rPr>
        <w:t>E. 5.7</w:t>
      </w:r>
    </w:p>
    <w:p>
      <w:r>
        <w:t>En l’espèce, l’activité de conseiller du fond C______ déclarée par la recourante n’est pas litigieuse et les honoraires encaissés à ce titre ne le sont pas non plus et ont été régulièrement déclarés et taxés. Le litige concerne les honoraires de gestion et de performance qui font l’objet des reprises. Le TAPI a retenu que les indices invoqués par l’AFC-GE ne suffisaient pas à retenir de manière définitive l’absence de structure effective des gestionnaires successifs du fond et leur proximité avec la recourante. En revanche, les éléments qui ressortaient du dossier d’un autre contribuable, produits sous le couvert du secret fiscal, démontraient l’existence d’un système mis en place permettant la redistribution à des proches de la recourante des montants encaissés par les</w:t>
      </w:r>
    </w:p>
    <w:p>
      <w:r>
        <w:t>- 24/30 - A/3793/2023 structures qui apparaissaient comme gestionnaires du fonds. Ces éléments permettaient ainsi à l’AFC-GE, en conformité avec la jurisprudence précitée, de réintégrer ces montants correspondant aux honoraires de gestion et de performance, dans le résultat imposable de la recourante. Cette conclusion était corroborée par le fait que dans le cadre de la relation contractuelle avec le troisième gestionnaire du fond (M______), dont la qualité de tiers indépendant ne faisait pas de doute, des honoraires liés à la performance avaient été convenus. Face à ce raisonnement, la recourante indique que les contrats conclus en 2007 avec deux autres entités ne prévoyaient pas de commission de performance non plus. De plus, le contrat conclu avec M______ était différent car la commission de conseil relative à la NAV n’était versée qu’à partir d’un certain seuil, ce qui lui était moins favorable et qui était en quelque sorte compensé par l’ajout d’une commission de performance. Cependant, les autres contrats conclus en 2007 avec d’autres entités ne sont pas remis en question dans ce litige et l’activité de conseil de la recourante non plus. Quant à la rémunération prévue par le troisième gestionnaire du fond, elle ne permet pas de contredire les éléments qui ressortent des pièces du dossier de tiers, soit la redistribution à des proches de la recourante des montants encaissés par les structures qui apparaissaient comme gestionnaires du fond. La recourante se prévaut encore du fait qu’elle aurait fourni les éléments nécessaires à prouver que les sociétés offshore avaient assuré leur fonction de gérant du fond, ce que l’AFC-GE conteste. Or, les courriels produits, provenant de K______ et L______ (pièce 29 recourante), indiquent confirmer des transactions effectuées et mentionnent principalement « Admin Back Office » comme signature, ce qui permet de retenir que ces entités assuraient une activité de back office, soit une activité administrative de soutien ou d’exécution. Ils ne permettent pas encore, comme l’a retenu à juste titre le TAPI, d’arriver à la conclusion qu’elles effectuaient une activité de gestion du fond. La recourante a également produit le contrat de travail de AA______, engagé par K______ en qualité de manager pour le 1er février 2010, ainsi que son CV. Il avait été engagé pour gérer le fond, avec un salaire cohérent avec sa fonction et ses responsabilités. Toutefois, contrairement à ce que fait valoir la recourante, la relation d’emploi n’a duré qu’une dizaine de mois au plus, la gestion du fond ayant été reprise par L______ dès le 1er décembre 2010, de sorte qu’elle ne peut en tirer de conclusions entrant en contradiction avec le fonctionnement retenu par l’AFC-GE sur la base des éléments probants figurants dans le dossier. En outre, l’ampleur de l’activité fournie par ces entités de gestion du fond peut avoir varié au cours du temps sans que ce seul élément soit de nature à établir l’activité alléguée par la recourante. La liste de ses employés produite par la recourante comporte trois à quatre postes à plein temps ainsi qu’un à deux à temps partiel (taux d’activité non précisé), actifs</w:t>
      </w:r>
    </w:p>
    <w:p>
      <w:r>
        <w:t>- 25/30 - A/3793/2023 depuis 2010. Elle ne permet cependant pas de retenir que le nombre d’employés serait insuffisant pour déployer une activité de gestionnaire du fond, étant précisé que la recourante n’a nullement expliqué l’activité exercée par chacun de ses employés. De plus, comme elle le reconnaît, elle transmet les mêmes conseils au même moment pour les marchés similaires (pièce 65 p. 4) à ses clients. Elle échoue ainsi à démontrer qu’elle n’aurait pas pu assumer la fonction de gestionnaire du fond C______ en plus de sa qualité de conseillère en investissement. S’agissant encore des indices, autre que les éléments qui ressortent du dossier de tiers, que le TAPI a jugé n’être pas suffisants à eux seuls pour prouver le fonctionnement de la recourante en lien avec le fond C______, ils ne seront pas examinés plus avant par la chambre de céans, ceux-ci n’étant pas susceptibles d’infirmer les conclusions retenues par l’AFC-GE, ce que la recourante n’affirme d’ailleurs pas non plus. Il convient donc d’examiner si l’organisation mise en place par la recourante constitue un cas d’évasion fiscale.</w:t>
      </w:r>
    </w:p>
    <w:p>
      <w:r>
        <w:rPr>
          <w:b/>
        </w:rPr>
        <w:t>E. 6</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d'impôts dans la mesure où il serait accepté par l'autorité fiscale (ATF 147 II 338 consid. 3.1 ; 142 II 399 consid. 4.2). Si ces trois conditions sont remplies, l'imposition doit être fondée non pas sur la forme choisie par le contribuable, mais sur la situation qui aurait dû être l'expression appropriée au but économique poursuivi par les intéressés (ATF 147 II 338 consid. 3 ; arrêt du Tribunal fédéral 2C_907/2022 du 16 décembre 2022 consid. 12).</w:t>
      </w:r>
    </w:p>
    <w:p>
      <w:r>
        <w:rPr>
          <w:b/>
        </w:rPr>
        <w:t>E. 6.1</w:t>
      </w:r>
    </w:p>
    <w:p>
      <w:r>
        <w:t>L'autorité fiscale doit en principe s'arrêter à la forme juridique choisie par le contribuable. Ce dernier est libre d'organiser ses relations de manière à générer le moins d'impôts possible. Il n'y a rien à redire à une telle planification fiscale, tant que des moyens autorisés sont mis en œuvre.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147 II 338 consid. 3.1 et les références).</w:t>
      </w:r>
    </w:p>
    <w:p>
      <w:r>
        <w:rPr>
          <w:b/>
        </w:rPr>
        <w:t>E. 6.2</w:t>
      </w:r>
    </w:p>
    <w:p>
      <w:r>
        <w:t>En l’espèce, il ressort des faits que la recourante a organisé la gestion apparente de le fond C______ et de ses sous-fonds par des entités offshore qui ne disposaient pas d’infrastructure opérationnelle démontrée, si ce n’est éventuellement une</w:t>
      </w:r>
    </w:p>
    <w:p>
      <w:r>
        <w:t>- 26/30 - A/3793/2023 infrastructure d’appui de type back-office et d’avoir ainsi détourné des honoraires afférents à cette gestion qui auraient dû être taxés en Suisse. En conséquence, au vu de ce qui précède, c’est à juste titre que l’AFC-GE a considéré que la recourante avait mis en place un système permettant la redistribution à des proches des montants encaissés par les structures qui apparaissaient comme gestionnaires du fond C______. La contribuable remplit ainsi la première condition de l’évasion fiscale et, s’agissant de la seconde, la seule raison pouvant expliquer la constellation mise en place est celle de ne pas être taxée en Suisse sur les bénéfices engendrés par l’activité de gestion mais uniquement sur celle de conseil.</w:t>
      </w:r>
    </w:p>
    <w:p>
      <w:r>
        <w:rPr>
          <w:b/>
        </w:rPr>
        <w:t>E. 7</w:t>
      </w:r>
    </w:p>
    <w:p>
      <w:r>
        <w:t>La recourante conteste également le montant des reprises.</w:t>
      </w:r>
    </w:p>
    <w:p>
      <w:r>
        <w:rPr>
          <w:b/>
        </w:rPr>
        <w:t>E. 7.1</w:t>
      </w:r>
    </w:p>
    <w:p>
      <w:r>
        <w:t>Il faut tout d’abord constater que devant le TAPI, le recourante n’a contesté que deux montants minimes des calculs produits par l’AFC-GE qui, s’ils avaient été corrigés, auraient abouti à une augmentation du montant des reprises. Devant la chambre de céans, elle conteste les principes des modalités des reprises s’agissant par exemple du calcul de la commission de performance pour l’un des fonds, ou de clauses particulières de versement de cette commission, sans toutefois produire les chiffres y afférents. Elle se fonde notamment sur l’étude de X______ qu’elle a produite, laquelle critique l’utilisation de la NAV de fin de trimestre par l’AFC-GE dans ses calculs, alors que le prospectus du fond prévoyait une valorisation hebdomadaire de la NAV. Cette argumentation a été soutenue par le témoin U______, auteur du rapport de X______, lors de son audition. Selon lui, le calcul de la NAV devait se faire quotidiennement par le gérant, même si le contrat entre la recourante et le gestionnaire le prévoyait différemment. La recourante demande la déduction des frais généraux des deux entités apparaissant comme gestionnaires du fond des montants repris par l’AFC-GE. À l’appui de cette conclusion, elle produit une taxation fiscale singapourienne, sans détail, d’une des deux entités pour une période fiscale, ce que le TAPI n’a pas jugé suffisant. Lors de l’audition de U______, celui-ci a repris cette argumentation. La recourante demande également la déduction des rétrocessions usuelles – pendant les années concernées – payées par les entités gestionnaires, diminuant d’autant les montants rapatriés dans son bénéfice. Sur ce point également, les conclusions de la recourante ne sont pas chiffrées ni documentées. Elle s’appuie sur l’étude réalisée par X______, laquelle indique que pour les reprises constituant du chiffre d’affaires, il convenait d’appliquer les ratios habituels de coûts pour une société de services, soit 15% à 20% des revenus. Toutefois, aucun chiffre précis soutenant les allégations précitées de la recourante n’a été produit. Seules des généralités ont été énoncées par la recourante et les témoins. Or, la recourante s’est vu offrir la possibilité en cours de procédure devant l’AFC-GE de produire toute pièce utile à l’appui de ses dires. À défaut, la taxation a dû être faite par estimation sur la base des documents à disposition. Notamment,</w:t>
      </w:r>
    </w:p>
    <w:p>
      <w:r>
        <w:t>- 27/30 - A/3793/2023 les documents produits concernant la taxation singapourienne d’un des gestionnaires apparents du fond ne permet pas de connaitre le type de charges prises en compte, de sorte que cette déduction doit être écartée, la recourante supportant le fardeau de la preuve, s’agissant d’éléments à prouver tendant à la diminution de son imposition. En conséquence, les griefs de la recourante seront écartés.</w:t>
      </w:r>
    </w:p>
    <w:p>
      <w:r>
        <w:rPr>
          <w:b/>
        </w:rPr>
        <w:t>E. 8</w:t>
      </w:r>
    </w:p>
    <w:p>
      <w:r>
        <w:t>Dans ses conclusions, la recourante conteste le bien-fondé des amendes pour soustraction d’impôts, sans toutefois développer une argumentation spécifique à ce sujet.</w:t>
      </w:r>
    </w:p>
    <w:p>
      <w:r>
        <w:rPr>
          <w:b/>
        </w:rPr>
        <w:t>E. 8.1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d'impôts,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8.2</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w:t>
      </w:r>
    </w:p>
    <w:p>
      <w:r>
        <w:t>- 28/30 - A/3793/2023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w:t>
      </w:r>
    </w:p>
    <w:p>
      <w:r>
        <w:rPr>
          <w:b/>
        </w:rPr>
        <w:t>E. 8.3</w:t>
      </w:r>
    </w:p>
    <w:p>
      <w:r>
        <w:t>En l’espèce, les taxations initiales ont donné lieu à des rappels d’impôts, les éléments objectifs d’une soustraction fiscale existent donc. Quant à la faute de la recourante, la structure mise en place ne pouvait viser qu’une soustraction des impôts suisses.</w:t>
      </w:r>
    </w:p>
    <w:p>
      <w:r>
        <w:rPr>
          <w:b/>
        </w:rPr>
        <w:t>E. 8.4</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w:t>
      </w:r>
    </w:p>
    <w:p>
      <w:r>
        <w:rPr>
          <w:b/>
        </w:rPr>
        <w:t>E. 8.5</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8.6</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w:t>
      </w:r>
    </w:p>
    <w:p>
      <w:r>
        <w:rPr>
          <w:b/>
        </w:rPr>
        <w:t>E. 8.7</w:t>
      </w:r>
    </w:p>
    <w:p>
      <w:r>
        <w:t>En l’espèce, la quotité des amendes a été fixée à 1.25 fois le montant des impôts soustraits. Elle respecte ainsi les principes de la jurisprudence et la recourante n’a d’ailleurs pas développé d’argumentation spécifique cet égard. Pour le surplus, il peut être renvoyé aux considérants détaillés développés par le TAPI dans son jugement aux consid. 41 et suivants, que la chambre de céans fait siens, pour confirmer les amendes fixées par l’AFC-GE.</w:t>
      </w:r>
    </w:p>
    <w:p>
      <w:r>
        <w:t>- 29/30 - A/3793/2023 Le recours sera donc partiellement admis, compte tenu de l’acquisition de la prescription du droit de procéder au rappel d’impôts pour l’année 2009.</w:t>
      </w:r>
    </w:p>
    <w:p>
      <w:r>
        <w:rPr>
          <w:b/>
        </w:rPr>
        <w:t>E. 9</w:t>
      </w:r>
    </w:p>
    <w:p>
      <w:r>
        <w:t>Vu l’issue du litige un émolument de CHF 1'500.-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