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ATA/758/2022 vom 26. Juli 2022</w:t>
      </w:r>
    </w:p>
    <w:p>
      <w:r>
        <w:t>GE Cour de justice, 2022-07-26, FR</w:t>
      </w:r>
    </w:p>
    <w:p>
      <w:r>
        <w:rPr>
          <w:b/>
        </w:rPr>
        <w:t xml:space="preserve">Quelle: </w:t>
      </w:r>
      <w:r>
        <w:t>https://mcp.opencaselaw.ch/entscheid/ge_gerichte_ATA_758_2022</w:t>
      </w:r>
    </w:p>
    <w:p>
      <w:r>
        <w:t>FR: GE_GERICHTE ATA/758/2022 du 26 juillet 2022</w:t>
      </w:r>
    </w:p>
    <w:p>
      <w:r>
        <w:t>IT: GE_GERICHTE ATA/758/2022 del 26 luglio 2022</w:t>
      </w:r>
    </w:p>
    <w:p>
      <w:pPr>
        <w:pStyle w:val="Heading2"/>
      </w:pPr>
      <w:r>
        <w:t>Erwägungen</w:t>
      </w:r>
    </w:p>
    <w:p>
      <w:r>
        <w:rPr>
          <w:b/>
        </w:rPr>
        <w:t>E. 12</w:t>
      </w:r>
    </w:p>
    <w:p>
      <w:r>
        <w:t>septembre 1985 - LPA - E 5 10). 2)</w:t>
      </w:r>
    </w:p>
    <w:p>
      <w:r>
        <w:t>L’autorisation de séjour du recourant, délivrée à la suite de son mariage, est échue depuis le 4 octobre 2007. Le 13 décembre 2007, le recourant a, certes, demandé un changement de canton à l’OCPM, mais n’a ensuite pas répondu aux demandes d’informations de celui-ci. Il n’établit pas ni même ne rend vraisemblable que lesdites demandes étaient restées sans sa faute sans réponse de sa part ; il ne s’est, au demeurant, pas enquis non plus auprès de l’OCPM de la suite donnée à sa demande de changement de canton. Au vu de ces éléments, sa demande du 7 novembre 2017 a été, à juste titre, traitée comme une nouvelle demande d’autorisation de séjour, fondée sur un cas d’extrême gravité.</w:t>
      </w:r>
    </w:p>
    <w:p>
      <w:r>
        <w:t>- 9/18 - A/4351/2020 3)</w:t>
      </w:r>
    </w:p>
    <w:p>
      <w:r>
        <w:t>Il convient donc d’examiner si le recourant remplit les conditions d’octroi d’un titre de séjour pour cas d’extrême gravité.</w:t>
      </w:r>
    </w:p>
    <w:p>
      <w:r>
        <w:t>a. Le 1er janvier 2019 est entrée en vigueur une modification de la LEI et de l’OASA. Conformément à l'art. 126 al. 1 LEI, les demandes déposées, comme en l'espèce, avant le 1er janvier 2019 sont régies par l’ancien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w:t>
      </w:r>
    </w:p>
    <w:p>
      <w:r>
        <w:t>- 10/18 - A/4351/2020</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w:t>
      </w:r>
    </w:p>
    <w:p>
      <w:r>
        <w:t>f.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g. Un étranger peut se prévaloir de l'art. 8 par. 1 CEDH pour s'opposer à l'éventuelle séparation de sa famille. Pour qu'il puisse invoquer la protection de la vie familiale découlant de cette disposition, il doit entretenir une relation étroite et</w:t>
      </w:r>
    </w:p>
    <w:p>
      <w:r>
        <w:t>- 11/18 - A/4351/2020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(physique ou mental) ou d'une maladie grave (ATF 129 II 11 consid. 2).</w:t>
      </w:r>
    </w:p>
    <w:p>
      <w:r>
        <w:t>h. Aux termes de l'art. 96 al. 1 LEI, les autorités compétentes tiennent compte, en exerçant leur pouvoir d'appréciation, des intérêts publics, de la situation personnelle de l'étranger, ainsi que de son intégration. 4)</w:t>
      </w:r>
    </w:p>
    <w:p>
      <w:r>
        <w:t>En l’espèce, il n’est pas contesté que le recourant a séjourné au bénéfice d’une autorisation de séjour en Suisse de 1995 à 2007.</w:t>
      </w:r>
    </w:p>
    <w:p>
      <w:r>
        <w:t>Les éléments apportés par le recourant, notamment devant la chambre de céans, permettent de retenir que celui-ci a séjourné ensuite sans discontinuité en Suisse depuis 2007. Mme X______ a attesté le côtoyer régulièrement depuis 2007, l’avoir introduit à l’église évangélique en 2009, puis à l’église russe en 2013. Selon les attestations de ces églises, ainsi que de l’église orthodoxe copte dont le recourant a été membre entre 2011 et 2013, il a régulièrement assisté aux services de ces églises lorsqu’il en était membre. L’attestation de M______ corrobore la présence régulière du recourant entre 2007 et 2010. Mme R______ a attesté avoir habité avec le recourant de 2013 à 2017 et l’Hôtel B______ Sàrl l’héberger depuis novembre 2017.</w:t>
      </w:r>
    </w:p>
    <w:p>
      <w:r>
        <w:t>Le recourant a donc résidé légalement en Suisse de 1995 à 2007, y séjourne illégalement depuis le 5 octobre 2007 et au bénéfice d’une simple tolérance depuis le 7 novembre 2017. Comme exposé ci-dessus, bien que la durée du séjour en Suisse du recourant, de vingt-sept ans, est indéniablement longue, elle doit être relativisée du fait que la majeure partie de son séjour, soit depuis fin octobre 2007, a été effectuée de manière illégale.</w:t>
      </w:r>
    </w:p>
    <w:p>
      <w:r>
        <w:t>Compte tenu de la durée de la présence en Suisse du recourant, il est vraisemblable qu’il y a tissé des liens d’amitié. Il ne fait cependant pas état de liens – hormis celui avec son fils, point sur lequel il sera revenu ci-après – d’une intensité telle qu’il ne pourrait être exigé de sa part de les poursuivre par le biais des moyens de télécommunication moderne. Il a participé à l’animation musicale des différentes églises dont il a été membre et a une bonne maîtrise de la langue française, la langue officielle de son pays d’origine.</w:t>
      </w:r>
    </w:p>
    <w:p>
      <w:r>
        <w:t>Hormis en 2005 et 2008 où il soutient – sans le démontrer – avoir travaillé comme pianiste de bar, il n’a exercé aucune activité professionnelle. Il dit s’être consacré les dix dernières années à l’étude du piano et reconnaît ne pas exercer</w:t>
      </w:r>
    </w:p>
    <w:p>
      <w:r>
        <w:t>- 12/18 - A/4351/2020 d’activité professionnelle. Son intégration professionnelle fait donc totalement défaut.</w:t>
      </w:r>
    </w:p>
    <w:p>
      <w:r>
        <w:t>Il a été condamné à plusieurs reprises, notamment pour violation de son obligation d’entretien. Par ailleurs, il a accumulé des dettes totalisant plus de CHF 100'000.-.</w:t>
      </w:r>
    </w:p>
    <w:p>
      <w:r>
        <w:t>L’attestation de son fils E______, seul document témoignant d’un lien avec son fils, est relativement ancienne, datant de 2018, ce que le TAPI a déjà relevé. Aucun document plus récent n’a été produit. Par ailleurs, le recourant n’a de manière répétée pas contribué à l’entretien de son fils. Le recourant ne peut ainsi se prévaloir d’un lien étroit et effectif avec ce dernier. Il est encore relevé que celui-ci est désormais majeur et il n’est pas allégué, ni a fortiori démontré, qu’il dépendrait de l’aide du recourant en raison d'un handicap ou d'une maladie grave.</w:t>
      </w:r>
    </w:p>
    <w:p>
      <w:r>
        <w:t>Le recourant est arrivé en Suisse, selon ses indications, en 1995, soit à l’âge de 33 ans. Il a donc passé son enfance, son adolescence et une partie de sa vie d’adulte en Côte d’Ivoire, pays dont il connaît les us et coutumes et parle la langue. Il n’exerce aucune activité professionnelle, de sorte que le retour dans son pays d’origine n’est pas susceptible d’entraver une telle activité. Il a indiqué ne plus y avoir de famille ni d’amis. Certes, en cas de retour, il traversera une nécessaire période de réadaptation, dont il n’y a pas lieu de minimiser les difficultés. Toutefois, il ne quitte pas un pays dans lequel il jouit d’une situation stable ou d’une intégration socio-professionnelle poussée. Il n'a d’ailleurs pas exposé devant le TAPI pas plus qu’il ne le fait devant la chambre de céans en quoi les conditions de sa réintégration sociale en Côte d’Ivoire, au regard de sa situation personnelle, professionnelle et familiale, seraient gravement compromises. Dans ces circonstances, il ne peut être retenu que sa réintégration serait gravement compromise.</w:t>
      </w:r>
    </w:p>
    <w:p>
      <w:r>
        <w:t>L'aspect médical sera analysé ci-dessous en lien avec la question du renvoi du recourant.</w:t>
      </w:r>
    </w:p>
    <w:p>
      <w:r>
        <w:t>En définitive, l’examen des circonstances et la pesée des intérêts en présence, dont ressort la prépondérance de l’absence d’intégration professionnelle et économique par rapport à la durée du séjour de l’intéressé en Suisse et des difficultés qu’il pourrait connaître en cas de renvoi en Côte d’Ivoire, ne font pas apparaître le refus d’une autorisation de séjour violerait la loi ou consacrerait un abus du pouvoir d’appréciation de l’OCPM. 5)</w:t>
      </w:r>
    </w:p>
    <w:p>
      <w:r>
        <w:t>Reste encore à examiner si les conditions permettant l’exécution du renvoi du recourant sont remplies.</w:t>
      </w:r>
    </w:p>
    <w:p>
      <w:r>
        <w:t>a. Le renvoi d'un étranger ne peut être ordonné que si l'exécution de celui-ci est possible, licite ou peut être raisonnablement exigée (art. 83 al. 1 LEI).</w:t>
      </w:r>
    </w:p>
    <w:p>
      <w:r>
        <w:t>- 13/18 - A/4351/2020</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de première instance E-3320/2016 du 6 juin 2016 et les références citées ; ATA/731/2015 du 14 juillet 2015 consid. 11b). L'exécution du renvoi ne sera pas raisonnablement exigible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(ATA/91/2022 du 1er février 2022 consid. 4 ; ATA/801/2018 du 6 août 2018 consid. 10d et les arrêts cités).</w:t>
      </w:r>
    </w:p>
    <w:p>
      <w:r>
        <w:t>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(Gregor CHATTON/ Jérôme SIEBER, Le droit à la santé et à la couverture des soins des étrangers en Suisse, Annuaire du droit de la migration 2019/2020, p. 155 et les références citées). L’art. 83 LEI ne saurait être interprétée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(arrêt du Tribunal administratif fédéral D-2754/2020 du 4 novembre 2020 consid. 7.5 ; ATAF 2011/50 consid. 8.3).</w:t>
      </w:r>
    </w:p>
    <w:p>
      <w:r>
        <w:t>Selon la jurisprudence de la Cour EDH (arrêt Paposhvili c. Belgique du</w:t>
      </w:r>
    </w:p>
    <w:p>
      <w:r>
        <w:rPr>
          <w:b/>
        </w:rPr>
        <w:t>E. 13</w:t>
      </w:r>
    </w:p>
    <w:p>
      <w:r>
        <w:t>décembre 2016, requête n°41738/10 ; cf. également arrêt de la Cour de Justice de l'Union européenne du 16 février 2017 en l'affaire C-578/16),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F-593/2022 du 10 février 2022 ; ATAF 2017 VI/7 consid. 6.2 et la jurisprudence citée).</w:t>
      </w:r>
    </w:p>
    <w:p>
      <w:r>
        <w:t>- 14/18 - A/4351/2020</w:t>
      </w:r>
    </w:p>
    <w:p>
      <w:r>
        <w:t>b. En l’espèce, le recourant a été victime d’un infarctus en novembre 2021, pour lequel il a été pris en charge. Il a terminé le programme de réadaptation et doit désormais entreprendre, à titre individuel, des marches quotidiennes et un régime méditerranéen. Il a un suivi médicamenteux et doit, une fois par année, se soumettre à un contrôle cardiaque et, deux fois, par année à un contrôle de la tension artérielle, un bilan lipidique, de la glycémie et de l’hémoglobine glyquée.</w:t>
      </w:r>
    </w:p>
    <w:p>
      <w:r>
        <w:t>Les problèmes de santé de l’intéressé nécessitent donc un traitement médical. Celui-ci ne fait toutefois pas obstacle à l’exécution de son renvoi. En effet, la Côte d’Ivoire, en particulier à Abidjan, dispose d’une infrastructure médicale qui, même si elle reste limitée, offre des soins médicaux essentiels (arrêts du TAF D-347/2014 du 6 janvier 2015 consid. 8.3.1 ; D-5452/2010 du 22 janvier 2013 consid. 8.2.2.1). Par ailleurs, des médicaments du genre de ceux actuellement prescrits y sont disponibles selon la Liste nationale des médicaments essentiels et du matériel biomédical, édition 2019 (consultable sur http://www.npsp.ci/INDEX-PHARMACEUTIQUE-EDITION-2019-VF.pdf, consulté le 20 juillet 2022 ; arrêt du TAF D-2754/2020 du 4 novembre 2020 consid. 7.5). Ainsi par exemple, l’Aspirine, l’Atorvastatine et le Losartan figurent parmi les 80 médicaments destinés au traitement de problèmes cardiovasculaires.</w:t>
      </w:r>
    </w:p>
    <w:p>
      <w:r>
        <w:t>Le recourant pourra prétendre à son retour, tant pour ses troubles cardiaques que d’hypertension, à des traitements médicaux de base, conformes aux standards de son pays d’origine, fussent-ils d'un niveau de qualité ou d'efficacité clinique moindres que ceux disponibles en Suisse. Le fait de ne plus participer à l’étude clinique visant à réduire le taux de lipoprotéine afin de diminuer le risque d’un nouvel épisode cardiaque ne constitue ainsi pas un empêchement à son retour, étant de surcroît relevé que les bénéfices du médicament à l’étude ne sont, en l’état, pas démontrés et que celui-ci ne fait, par conséquent, pas partie de la médication usuelle en la matière en Suisse.</w:t>
      </w:r>
    </w:p>
    <w:p>
      <w:r>
        <w:t>Par ailleurs, la Côte d’Ivoire dispose depuis 2019 d’un système obligatoire contre le risque maladie, appelé « Couverture maladie universelle » (ci-après : CMU) et constitué d’une seule caisse nationale. L’un des régimes proposés vise particulièrement les personnes en situation d’indigence, non soumises à une obligation de cotisation mensuelle (arrêt du TAF E-2276/2017 du 29 mars 2019 consid. 5.6 et les références citées). Les Ivoiriens peuvent bénéficier des prestations de la CMU dans les établissements et centres de santé, services médicaux et pharmacies publics, ainsi que dans les officines, cabinets et établissements de santé privés agréés (arrêt du TAF D-2754/2020 précité consid. 7.6.1).</w:t>
      </w:r>
    </w:p>
    <w:p>
      <w:r>
        <w:t>Au vu de ce qui précède, il n’est pas démontré que le recourant ne pourrait pas continuer de bénéficier de soins et de médicaments appropriés en Côte d’Ivoire ni rendu vraisemblable que son état de santé serait susceptible de se dégrader très rapidement, en raison d’un renvoi vers son pays, au point de</w:t>
      </w:r>
    </w:p>
    <w:p>
      <w:r>
        <w:t>- 15/18 - A/4351/2020 conduire d’une manière certaine à une mise en danger concrète au sens de l’art. 83 al. 4 LEI et de la jurisprudence. Son renvoi est donc raisonnablement exigible, licite et possible.</w:t>
      </w:r>
    </w:p>
    <w:p>
      <w:r>
        <w:t>Mal fondé, le recours sera ainsi rejeté. 6)</w:t>
      </w:r>
    </w:p>
    <w:p>
      <w:r>
        <w:t>Vu l’issue du litige, un émolument de CHF 400.-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