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ATA/758/2020 vom 18. August 2020</w:t>
      </w:r>
    </w:p>
    <w:p>
      <w:r>
        <w:t>GE Cour de justice, 2020-08-18, FR</w:t>
      </w:r>
    </w:p>
    <w:p>
      <w:r>
        <w:rPr>
          <w:b/>
        </w:rPr>
        <w:t xml:space="preserve">Quelle: </w:t>
      </w:r>
      <w:r>
        <w:t>https://mcp.opencaselaw.ch/entscheid/ge_gerichte_ATA_758_2020</w:t>
      </w:r>
    </w:p>
    <w:p>
      <w:r>
        <w:t>FR: GE_GERICHTE ATA/758/2020 du 18 août 2020</w:t>
      </w:r>
    </w:p>
    <w:p>
      <w:r>
        <w:t>IT: GE_GERICHTE ATA/758/2020 del 18 agosto 2020</w:t>
      </w:r>
    </w:p>
    <w:p>
      <w:pPr>
        <w:pStyle w:val="Heading2"/>
      </w:pPr>
      <w:r>
        <w:t>Erwägungen</w:t>
      </w:r>
    </w:p>
    <w:p>
      <w:r>
        <w:rPr>
          <w:b/>
        </w:rPr>
        <w:t>E. 26</w:t>
      </w:r>
    </w:p>
    <w:p>
      <w:r>
        <w:t>septembre 2010 - LOJ - E 2 05 ; art. 87 al. 4 LPA).</w:t>
      </w:r>
    </w:p>
    <w:p>
      <w:r>
        <w:t>- 7/11 - A/4228/2019 2)</w:t>
      </w:r>
    </w:p>
    <w:p>
      <w:r>
        <w:t>Dans l'ATF 144 I 208, le Tribunal fédéral a implicitement admis la conformité au droit – pourvu qu'elle soit coordonnée avec les recours déposés devant lui – de la procédure de réclamation sur émolument et indemnité de l'art. 87 al. 4 LPA, sauf dans les cas où il existe une disposition de droit fédéral susceptible d'entrer en conflit avec la procédure de réclamation, comme en matière d'assurances sociales (ATF 144 I 208 consid. 5). 3)</w:t>
      </w:r>
    </w:p>
    <w:p>
      <w:r>
        <w:t>Se pose néanmoins la question de savoir si une réclamation au sens de l'art. 87 al. 4 LPA peut être formée à l'encontre d’un arrêt sur réclamation, et non d'un jugement ou d'un arrêt statuant sur le fond d'un litige.</w:t>
      </w:r>
    </w:p>
    <w:p>
      <w:r>
        <w:t>Le texte de la disposition ne pose pas expressément une telle limite, et les travaux préparatoires ne permettent guère de l'interpréter. En effet, la procédure de réclamation ne figurait pas dans le projet de loi initial, et il n'y a donc pas d'exposé des motifs la concernant (MGC 1984 14/I 1506-1507 et 1630-1632). La procédure de réclamation a été introduite en commission parlementaire, le rapport la décrivant en ces termes : « la commission a introduit une procédure de réclamation permettant aux parties de contester le montant des frais de procédure, émoluments et indemnités, dans les trente jours dès la notification de la décision. Cette procédure de réclamation qui se déroule auprès de la même autorité qui a statué, selon les règles prévues aux articles 50 et suivants de la loi, est analogue à la procédure d'opposition qui existe en procédure civile » (MGC 1985 36/III 4391).</w:t>
      </w:r>
    </w:p>
    <w:p>
      <w:r>
        <w:t>Du point de vue téléologique en revanche, le but de la réclamation consiste à pouvoir porter devant l’autorité qui a statué des questions secondaires par le biais d’une procédure simplifiée, plutôt que de devoir user de la voie du recours ordinaire. Il ne se conçoit pas de pouvoir répéter cette étape en cas de mise à charge d’un émolument ou pour tout autre motif, et l’art. 87 al. 1 LPA, doit être interprété en ce sens.</w:t>
      </w:r>
    </w:p>
    <w:p>
      <w:r>
        <w:t>La présente réclamation sur réclamation sera dès lors déclarée irrecevable quand bien même il pourrait être entré en matière à son sujet, elle devrait être rejetée pour les motifs qui suivent. 4) a. La chambre de céans statue sur les frais de procédure, indemnités et émoluments dans les limites établies par règlement du Conseil d'État et conformément au principe de la proportionnalité (art. 87 al. 1 et 3 LPA ; ATA/510/2016 du 14 juin 2016 consid. 2 ; ATA/581/2009 du 10 novembre 2009 et les références citées).</w:t>
      </w:r>
    </w:p>
    <w:p>
      <w:r>
        <w:t>Selon l’art. 1 du règlement sur les frais, émoluments et indemnités en procédure administrative du 30 juillet 1986 (RFPA - E 5 10.03), les frais de procédure qui peuvent être mis à la charge de la partie comprennent l’émolument d’arrêté au sens de l’art. 2 et les débours au sens de l’art. 3. En règle générale,</w:t>
      </w:r>
    </w:p>
    <w:p>
      <w:r>
        <w:t>- 8/11 - A/4228/2019 l’émolument d’arrêté n’excède pas CHF 10'000.- (art. 2 al. 1 RFPA) ; toutefois, dans les contestations de nature pécuniaire, l’émolument peut dépasser cette somme, sans excéder CHF 15'000.- (art. 2 al. 1 RFPA).</w:t>
      </w:r>
    </w:p>
    <w:p>
      <w:r>
        <w:t>b. Un principe général de procédure administrative veut que les frais soient supportés par la partie qui succombe et dans la mesure où elle succombe (René RHINOW et al., Öffentliches Prozessrecht, 2ème éd., 2014, n. 951).</w:t>
      </w:r>
    </w:p>
    <w:p>
      <w:r>
        <w:t>La chambre administrative dispose d’un large pouvoir d’appréciation quant à la quotité de l'émolument qu’elle met à charge de la partie qui succombe. Cela résulte notamment de l'art. 2 al. 1 RFPA dès lors que ce dernier se contente de plafonner – en principe – l'émolument d'arrêté à CHF 10'000.- (ATA/1185/2018 du 6 novembre 2018 consid. 2b ; ATA/378/2015 du 21 avril 2015 consid. 2).</w:t>
      </w:r>
    </w:p>
    <w:p>
      <w:r>
        <w:t>c. Il est de jurisprudence constante que la partie qui succombe supporte une partie des frais découlant du travail qu’elle a généré par sa saisine (ATA/182/2018 du 27 février 2018 consid. 2). Les frais de justice sont des contributions causales qui trouvent leur fondement dans la sollicitation d'une prestation étatique et, partant, dépendent des coûts occasionnés par le service rendu. Il est cependant notoire que, en matière judiciaire, les émoluments encaissés par les tribunaux n'arrivent pas, et de loin, à couvrir leurs dépenses effectives (ATF 143 I 227 consid. 4.3.1 ; 141 I 105 consid. 3.3.2 ; 133 V 402 consid. 3.1). 5)</w:t>
      </w:r>
    </w:p>
    <w:p>
      <w:r>
        <w:t>Le réclamant estime que le changement de pratique n'avait pas été dûment annoncé.</w:t>
      </w:r>
    </w:p>
    <w:p>
      <w:r>
        <w:t>a. La notion de pratique administrative désigne en effet la répétition constante et régulière dans l’application d’une norme par les autorités administratives. De cette répétition peuvent apparaître, comme en ce qui concerne la jurisprudence, des règles sur la manière d’interpréter la loi ou de faire usage d’une liberté d’appréciation. Elle vise notamment à résoudre de manière uniforme des questions de fait, d’opportunité ou d’efficacité. Cette pratique ne peut être source de droit et ne lie donc pas le juge, mais peut néanmoins avoir indirectement un effet juridique par le biais du principe de l’égalité de traitement (ATA/596/2015 du 9 juin 2015 consid 7d et les références citées).</w:t>
      </w:r>
    </w:p>
    <w:p>
      <w:r>
        <w:t>b. Un changement de pratique administrative doit reposer sur des motifs sérieux et objectifs, c’est-à-dire rétablir une pratique conforme au droit, mieux tenir compte des divers intérêts en présence ou d’une connaissance plus approfondie des intentions du législateur, d’un changement de circonstances extérieures, de l’évolution des conceptions juridiques ou des mœurs. Les motifs doivent être d’autant plus sérieux que la pratique suivie jusqu’ici est ancienne. À défaut, elle doit être maintenue (ATF 135 I 79 consid. 3 ; 132 III 770 consid. 4 ; 127 I 49 consid. 3c ; 127 II 289 consid. 3a ; ATA/596/2015 précité).</w:t>
      </w:r>
    </w:p>
    <w:p>
      <w:r>
        <w:t>- 9/11 - A/4228/2019</w:t>
      </w:r>
    </w:p>
    <w:p>
      <w:r>
        <w:t>c. alant pour l’ensemble de l’activité étatique, le principe de la bonne foi, exprimé aux art. 9 et 5 al. 3 de la Constitution fédérale de la Confédération suisse du 18 avril 1999 (Cst. - RS 101) exige que l’administration et les administrés se comportent réciproquement de manière loyale. En particulier, l’administration doit s’abstenir de toute attitude propre tromper l’administré et elle ne saurait tirer aucun avantage des conséquences d’une incorrection ou insuffisance de sa part (ATF 138 I 49 consid. 8.3 ; 129 I 161 consid. 4 ; 129 II 361 consid. 7.1 ; arrêt du Tribunal fédéral 1C_18/2015 du 22 mai 2015 consid. 3). Il protège le citoyen dans la confiance légitime qu’il met dans les assurances reçues des autorités lorsqu'il a réglé sa conduite d après des décisions, des déclarations ou un comportement déterminé de l administration 37 II 182 consid. 3.6.2 ; 137 I 69 consid. 2.5.1). La protection de la bonne foi ne s’applique pas si l’intéressé connaissait l’inexactitude de l’indication ou aurait pu la connaître en consultant simplement les dispositions légales pertinentes (ATF 135 III 489 consid. 4.4 ; 134 I 199 consid. 1.3.1).</w:t>
      </w:r>
    </w:p>
    <w:p>
      <w:r>
        <w:t>En matière de changement de pratique, le Tribunal fédéral a ainsi jugé que la modification d’une jurisprudence relative aux conditions de recevabilité d’un recours ne doit pas intervenir sans avertissement, si elle provoque la péremption d’un droit (ATF 140 I 74 consid. 4.2). 6)</w:t>
      </w:r>
    </w:p>
    <w:p>
      <w:r>
        <w:t>En l'espèce, le changement de pratique a été annoncé dans l'ATA/1185/2018 au consid. 8 ainsi que dans l’ATA/897/2019 du 14 mai 2019 au consid. 8 et dans l’ATA/1478/2019 au consid. 6. Ces arrêts indiquent expressément que la pratique de la chambre administrative consistant à ne pas prélever d'émolument lorsqu'elle statue sur réclamation pourrait être amenée à changer, et que cela dépendrait des circonstances particulières du cas. La chambre de céans a par la suite plusieurs fois mentionné, lorsqu'elle ne prélevait pas d'émolument, qu'elle agissait ainsi selon sa pratique courante – et non plus selon sa pratique constante. Le changement de pratique ne consiste en outre ici pas à prélever systématiquement un émolument, mais seulement dans certains cas, comme cela est par exemple prévu en matière d'assurances sociales à l'art. 89H al. 1 LPA.</w:t>
      </w:r>
    </w:p>
    <w:p>
      <w:r>
        <w:t>Quoi qu'il en soit, le changement de pratique litigieux porte sur le prélèvement de frais de justice ; s'il impose au réclamant une obligation nouvelle, il ne provoque en rien la péremption d'un droit et n'a en particulier pas conduit à une déclaration d'irrecevabilité de sa réclamation.</w:t>
      </w:r>
    </w:p>
    <w:p>
      <w:r>
        <w:t>Le grief devait ainsi être écarté. 7)</w:t>
      </w:r>
    </w:p>
    <w:p>
      <w:r>
        <w:t>S'agissant de la pertinence du changement de pratique – laquelle est en l'occurrence longue mais ne peut par définition être séculaire, le Tribunal administratif ayant précédé la chambre de céans n'ayant été créé qu'en 1971 –, force est de constater que l'art. 87 al. 1 LPA ne fait pas de différence entre les types de procédure, et que la gratuité instaurée par la pratique de la chambre de</w:t>
      </w:r>
    </w:p>
    <w:p>
      <w:r>
        <w:t>- 10/11 - A/4228/2019 céans ne repose que sur la volonté de ne pas alourdir la procédure, notamment pour le justiciable qui cherche simplement à faire constater une erreur dans le prononcé ou la répartition des frais et indemnités de procédure (ATA/633/2020 du</w:t>
      </w:r>
    </w:p>
    <w:p>
      <w:r>
        <w:rPr>
          <w:b/>
        </w:rPr>
        <w:t>E. 30</w:t>
      </w:r>
    </w:p>
    <w:p>
      <w:r>
        <w:t>juin 2020 ; ATA/450/2020 du 7 mai 2020 ; ATA/1594/2019 du 29 octobre 2019 ; ATA/932/2019 du 21 mai 2019 ; ATA/824/2016 du 4 octobre 2016). Ledit changement fait suite à une recrudescence du nombre de réclamations sur émoluments et indemnités, et est ainsi dicté par un changement de circonstances extérieures.</w:t>
      </w:r>
    </w:p>
    <w:p>
      <w:r>
        <w:t>Plus spécifiquement, la décision attaquée met un émolument à la charge du réclamant en raison de la légèreté de sa réclamation, dès lors qu’il contestait l'usage de la répartition choisie par le Tribunal fédéral alors même qu’elle lui était favorable, et qu’il mettait en cause sans motifs particuliers le montant de l'indemnité retenue. La décision de prévoir un émolument était donc en l'espèce pleinement justifiée.</w:t>
      </w:r>
    </w:p>
    <w:p>
      <w:r>
        <w:t>Le grief devait par conséquent être également écarté. 8)</w:t>
      </w:r>
    </w:p>
    <w:p>
      <w:r>
        <w:t>Dans la mesure où la présente réclamation met en cause le premier émolument issu du changement de pratique dénoncé, il n'y a pas lieu de prélever un émolument pour la présente procédure (art. 87 al. 1 LPA), et aucune indemnité de procédure ne sera allouée vu notamment l'issue du litige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