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ATA/757/2020 vom 18. August 2020</w:t>
      </w:r>
    </w:p>
    <w:p>
      <w:r>
        <w:t>GE Cour de justice, 2020-08-18, FR</w:t>
      </w:r>
    </w:p>
    <w:p>
      <w:r>
        <w:rPr>
          <w:b/>
        </w:rPr>
        <w:t xml:space="preserve">Quelle: </w:t>
      </w:r>
      <w:r>
        <w:t>https://mcp.opencaselaw.ch/entscheid/ge_gerichte_ATA_757_2020</w:t>
      </w:r>
    </w:p>
    <w:p>
      <w:r>
        <w:t>FR: GE_GERICHTE ATA/757/2020 du 18 août 2020</w:t>
      </w:r>
    </w:p>
    <w:p>
      <w:r>
        <w:t>IT: GE_GERICHTE ATA/757/2020 del 18 agosto 2020</w:t>
      </w:r>
    </w:p>
    <w:p>
      <w:pPr>
        <w:pStyle w:val="Heading2"/>
      </w:pPr>
      <w:r>
        <w:t>Erwägungen</w:t>
      </w:r>
    </w:p>
    <w:p>
      <w:r>
        <w:rPr>
          <w:b/>
        </w:rPr>
        <w:t>E. 26</w:t>
      </w:r>
    </w:p>
    <w:p>
      <w:r>
        <w:t>septembre 2010 - LOJ - E 2 05 ; art. 87 al. 4 LPA). 2)</w:t>
      </w:r>
    </w:p>
    <w:p>
      <w:r>
        <w:t>Dans l'ATF 144 I 208, le Tribunal fédéral a implicitement admis la conformité au droit – pourvu qu'elle soit coordonnée avec les recours déposés devant lui – de la procédure de réclamation sur émolument et indemnité de l'art. 87 al. 4 LPA, sauf dans les cas où il existe une disposition de droit fédéral susceptible d'entrer en conflit avec la procédure de réclamation, comme en matière d'assurances sociales (ATF 144 I 208 consid. 5). 3)</w:t>
      </w:r>
    </w:p>
    <w:p>
      <w:r>
        <w:t>Se pose néanmoins la question de savoir si une réclamation au sens de l'art. 87 al. 4 LPA peut être formée à l'encontre d’un arrêt sur réclamation, et non d'un jugement ou d'un arrêt statuant sur le fond d'un litige.</w:t>
      </w:r>
    </w:p>
    <w:p>
      <w:r>
        <w:t>Le texte de la disposition ne pose pas expressément une telle limite, et les travaux préparatoires ne permettent guère de l'interpréter. En effet, la procédure de réclamation ne figurait pas dans le projet de loi initial, et il n'y a donc pas d'exposé des motifs la concernant (MGC 1984 14/I 1506-1507 et 1630-1632). La procédure de réclamation a été introduite en commission parlementaire, le rapport la décrivant en ces termes : « la commission a introduit une procédure de réclamation permettant aux parties de contester le montant des frais de procédure, émoluments et indemnités, dans les trente jours dès la notification de la décision. Cette procédure de réclamation qui se déroule auprès de la même autorité qui a statué, selon les règles prévues aux articles 50 et suivants de la loi, est analogue à la procédure d'opposition qui existe en procédure civile » (MGC 1985 36/III 4391).</w:t>
      </w:r>
    </w:p>
    <w:p>
      <w:r>
        <w:t>Du point de vue téléologique en revanche, le but de la réclamation consiste à pouvoir porter devant l’autorité qui a statué des questions secondaires par le biais d’une procédure simplifiée, plutôt que de devoir user de la voie du recours ordinaire. Il ne se conçoit pas de pouvoir répéter cette étape en cas de mise à charge d’un émolument ou pour tout autre motif, et l’art. 87 al. 1 LPA, doit être interprété en ce sens.</w:t>
      </w:r>
    </w:p>
    <w:p>
      <w:r>
        <w:t>- 8/11 - A/4227/2019</w:t>
      </w:r>
    </w:p>
    <w:p>
      <w:r>
        <w:t>La présente réclamation sur réclamation sera dès lors déclarée irrecevable quand bien même il pourrait être entré en matière à son sujet, elle devrait être rejetée pour les motifs qui suivent. 4) a. La chambre de céans statue sur les frais de procédure, indemnités et émoluments dans les limites établies par règlement du Conseil d'État et conformément au principe de la proportionnalité (art. 87 al. 1 et 3 LPA ; ATA/510/2016 du 14 juin 2016 consid. 2 ; ATA/581/2009 du 10 novembre 2009 et les références citées).</w:t>
      </w:r>
    </w:p>
    <w:p>
      <w:r>
        <w:t>Selon l’art. 1 du règlement sur les frais, émoluments et indemnités en procédure administrative du 30 juillet 1986 (RFPA - E 5 10.03), les frais de procédure qui peuvent être mis à la charge de la partie comprennent l’émolument d’arrêté au sens de l’art. 2 et les débours au sens de l’art. 3. En règle générale, l’émolument d’arrêté n’excède pas CHF 10'000.- (art. 2 al. 1 RFPA) ; toutefois, dans les contestations de nature pécuniaire, l’émolument peut dépasser cette somme, sans excéder CHF 15'000.- (art. 2 al. 1 RFPA).</w:t>
      </w:r>
    </w:p>
    <w:p>
      <w:r>
        <w:t>b. Un principe général de procédure administrative veut que les frais soient supportés par la partie qui succombe et dans la mesure où elle succombe (René RHINOW et al., Öffentliches Prozessrecht, 2ème éd., 2014, n. 951).</w:t>
      </w:r>
    </w:p>
    <w:p>
      <w:r>
        <w:t>La chambre administrative dispose d’un large pouvoir d’appréciation quant à la quotité de l'émolument qu’elle met à charge de la partie qui succombe. Cela résulte notamment de l'art. 2 al. 1 RFPA dès lors que ce dernier se contente de plafonner – en principe – l'émolument d'arrêté à CHF 10'000.- (ATA/1185/2018 du 6 novembre 2018 consid. 2b ; ATA/378/2015 du 21 avril 2015 consid. 2).</w:t>
      </w:r>
    </w:p>
    <w:p>
      <w:r>
        <w:t>c. Il est de jurisprudence constante que la partie qui succombe supporte une partie des frais découlant du travail qu’elle a généré par sa saisine (ATA/182/2018 du 27 février 2018 consid. 2). Les frais de justice sont des contributions causales qui trouvent leur fondement dans la sollicitation d'une prestation étatique et, partant, dépendent des coûts occasionnés par le service rendu. Il est cependant notoire que, en matière judiciaire, les émoluments encaissés par les tribunaux n'arrivent pas, et de loin, à couvrir leurs dépenses effectives (ATF 143 I 227 consid. 4.3.1 ; 141 I 105 consid. 3.3.2 ; 133 V 402 consid. 3.1). 5)</w:t>
      </w:r>
    </w:p>
    <w:p>
      <w:r>
        <w:t>La réclamante estime que le changement de pratique n'avait pas été dûment annoncé.</w:t>
      </w:r>
    </w:p>
    <w:p>
      <w:r>
        <w:t>a. La notion de pratique administrative désigne en effet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w:t>
      </w:r>
    </w:p>
    <w:p>
      <w:r>
        <w:t>- 9/11 - A/4227/2019 de fait, d’opportunité ou d’efficacité. Cette pratique ne peut être source de droit et ne lie donc pas le juge, mais peut néanmoins avoir indirectement un effet juridique par le biais du principe de l’égalité de traitement (ATA/596/2015 du 9 juin 2015 consid. 7d et les références citées).</w:t>
      </w:r>
    </w:p>
    <w:p>
      <w:r>
        <w:t>b.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132 III 770 consid. 4 ; 127 I 49 consid. 3c ; 127 II 289 consid. 3a ; ATA/596/2015 précité).</w:t>
      </w:r>
    </w:p>
    <w:p>
      <w:r>
        <w:t>c. 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 stenir de toute attitude ro re trom er l’administré et elle ne saurait tirer aucun avantage des conséquences d’une incorrection ou insuffisance de sa part (ATF 138 I 49 consid. 8.3 ; 129 I 161 consid. 4 ; 129 II 361 consid. 7.1 ; arrêt du Tribunal fédéral 1C_18/2015 du 22 mai 2015 consid. 3). Il protège le citoyen dans la confiance légitime qu’il met dans les assurances reçues des autorités lorsqu'il a réglé sa conduite d a r s des décisions des déclarations ou un com ortement déterminé de l administration 37 II 182 consid. 3.6.2 ; 137 I consid a rotection de la onne foi ne s’a lique as si l’intéressé connaissait l’inexactitude de l’indication ou aurait u la conna tre en consultant simplement les dispositions légales pertinentes (ATF 135 III 489 consid. 4.4 ; 134 I 199 consid. 1.3.1).</w:t>
      </w:r>
    </w:p>
    <w:p>
      <w:r>
        <w:t>En matière de changement de pratique, le Tribunal fédéral a ainsi jugé que la modification d’une jurisprudence relative aux conditions de recevabilité d’un recours ne doit pas intervenir sans avertissement, si elle provoque la péremption d’un droit (ATF 140 IV 74 consid. 4.2). 6)</w:t>
      </w:r>
    </w:p>
    <w:p>
      <w:r>
        <w:t>En l'espèce, le changement de pratique a été annoncé dans l'ATA/1185/2018 au consid. 8 ainsi que dans l’ATA/897/2019 du 14 mai 2019 au consid. 8 et dans l’ATA/1478/2019 au consid. 6. Ces arrêts indiquent expressément que la pratique de la chambre administrative consistant à ne pas prélever d'émolument lorsqu'elle statue sur réclamation pourrait être amenée à changer, et que cela dépendrait des circonstances particulières du cas. La chambre de céans a par la suite plusieurs fois mentionné, lorsqu'elle ne prélevait pas d'émolument, qu'elle agissait ainsi selon sa pratique courante – et non plus selon sa pratique constante. Le changement de pratique ne consiste en outre ici pas à prélever systématiquement</w:t>
      </w:r>
    </w:p>
    <w:p>
      <w:r>
        <w:t>- 10/11 - A/4227/2019 un émolument, mais seulement dans certains cas, comme cela est par exemple prévu en matière d'assurances sociales à l'art. 89H al. 1 LPA.</w:t>
      </w:r>
    </w:p>
    <w:p>
      <w:r>
        <w:t>Quoi qu'il en soit, le changement de pratique litigieux porte sur le prélèvement de frais de justice ; s'il impose à la réclamante une obligation nouvelle, il ne provoque en rien la péremption d'un droit et n'a en particulier pas conduit à une déclaration d'irrecevabilité de sa réclamation.</w:t>
      </w:r>
    </w:p>
    <w:p>
      <w:r>
        <w:t>Le grief devait ainsi être écarté. 7)</w:t>
      </w:r>
    </w:p>
    <w:p>
      <w:r>
        <w:t>S'agissant de la pertinence du changement de pratique – laquelle est en l'occurrence longue mais ne peut par définition être séculaire, le Tribunal administratif ayant précédé la chambre de céans n'ayant été créé qu'en 1971 –, force est de constater que l'art. 87 al. 1 LPA ne fait pas de différence entre les types de procédure, et que la gratuité instaurée par la pratique de la chambre de céans ne repose que sur la volonté de ne pas alourdir la procédure, notamment pour le justiciable qui cherche simplement à faire constater une erreur dans le prononcé ou la répartition des frais et indemnités de procédure (ATA/633/2020 du</w:t>
      </w:r>
    </w:p>
    <w:p>
      <w:r>
        <w:rPr>
          <w:b/>
        </w:rPr>
        <w:t>E. 30</w:t>
      </w:r>
    </w:p>
    <w:p>
      <w:r>
        <w:t>juin 2020 ; ATA/450/2020 du 7 mai 2020 ; ATA/1594/2019 du 29 octobre 2019 ; ATA/932/2019 du 21 mai 2019 ; ATA/824/2016 du 4 octobre 2016). Ledit changement fait suite à une recrudescence du nombre de réclamations sur émoluments et indemnités, et est ainsi dicté par un changement de circonstances extérieures.</w:t>
      </w:r>
    </w:p>
    <w:p>
      <w:r>
        <w:t>Plus spécifiquement, la décision attaquée met un émolument à la charge de la réclamante en raison de la légèreté de sa réclamation, dès lors qu'elle contestait l'usage de la répartition choisie par le Tribunal fédéral alors même qu'elle lui était favorable, et qu'elle mettait en cause sans motifs particuliers le montant de l'indemnité retenue. La décision de prévoir un émolument était donc en l'espèce pleinement justifiée.</w:t>
      </w:r>
    </w:p>
    <w:p>
      <w:r>
        <w:t>Le grief devait par conséquent être également écarté. 8)</w:t>
      </w:r>
    </w:p>
    <w:p>
      <w:r>
        <w:t>Dans la mesure où la présente réclamation met en cause le premier émolument issu du changement de pratique dénoncé, il n'y a pas lieu de prélever un émolument pour la présente procédure (art. 87 al. 1 LPA), et aucune indemnité de procédure ne sera allouée vu notamment l'issue du litige (art. 87 al. 2 LPA).</w:t>
      </w:r>
    </w:p>
    <w:p>
      <w:r>
        <w:t>* * * * *</w:t>
      </w:r>
    </w:p>
    <w:p>
      <w:r>
        <w:t>- 11/11 - A/4227/2019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