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ATA/757/2010 vom 2. November 2010</w:t>
      </w:r>
    </w:p>
    <w:p>
      <w:r>
        <w:t>GE Cour de justice, 2010-11-02, FR</w:t>
      </w:r>
    </w:p>
    <w:p>
      <w:r>
        <w:rPr>
          <w:b/>
        </w:rPr>
        <w:t xml:space="preserve">Quelle: </w:t>
      </w:r>
      <w:r>
        <w:t>https://mcp.opencaselaw.ch/entscheid/ge_gerichte_ATA_757_2010</w:t>
      </w:r>
    </w:p>
    <w:p>
      <w:r>
        <w:t>FR: GE_GERICHTE ATA/757/2010 du 2 novembre 2010</w:t>
      </w:r>
    </w:p>
    <w:p>
      <w:r>
        <w:t>IT: GE_GERICHTE ATA/757/2010 del 2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w:t>
      </w:r>
    </w:p>
    <w:p>
      <w:r>
        <w:rPr>
          <w:b/>
        </w:rPr>
        <w:t>E. 3</w:t>
      </w:r>
    </w:p>
    <w:p>
      <w:r>
        <w:t>Selon l'art. 39A al. 3 LGL, le Conseil d'Etat détermine les conditions auxquelles le locataire a droit à une allocation, ainsi que le calcul de celle-ci.</w:t>
      </w:r>
    </w:p>
    <w:p>
      <w:r>
        <w:t>En application de l'art. 22 al. 1 let. a RGL, l'allocation de logement ne peut pas être accordée aux locataires qui, après en avoir été requis, ne justifient pas qu'un échange avec un logement moins onéreux ne peut se réaliser sans inconvénient majeur pour eux.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(ATA/309/2005 du 5 avril 2005). Le fait de quitter un logement pour emménager dans un autre au loyer plus élevé doit être assimilé au défaut de se conformer à l'obligation de réaliser un échange avec un appartement moins onéreux (ATA/705/2005 du 7 juin 2005).</w:t>
      </w:r>
    </w:p>
    <w:p>
      <w:r>
        <w:rPr>
          <w:b/>
        </w:rPr>
        <w:t>E. 4</w:t>
      </w:r>
    </w:p>
    <w:p>
      <w:r>
        <w:t>Le locataire doit démontrer qu'un échange avec un logement moins onéreux ne peut se réaliser sans inconvénients majeurs (ATA/611/2010 du 1er septembre 2010 ; ATA/542/2010 du 4 août 2010 et jurisprudence citée).</w:t>
      </w:r>
    </w:p>
    <w:p>
      <w:r>
        <w:t>Constituent des inconvénients majeurs au sens de la jurisprudence du tribunal de céans, notamment l’insalubrité du logement, le lourd handicap d’un enfant, la cohabitation avec un ex-conjoint avec qui les relations sont devenues mauvaises, la naissance de triplés alors que l’appartement est petit ou encore le fait de ne pas pouvoir installer dans un studio le lit spécial que requiert l’état de</w:t>
      </w:r>
    </w:p>
    <w:p>
      <w:r>
        <w:t>- 5/6 - A/851/2010 santé d’un locataire (ATA/611/2010 et ATA/542/2010 précités et jurisprudence citée).</w:t>
      </w:r>
    </w:p>
    <w:p>
      <w:r>
        <w:rPr>
          <w:b/>
        </w:rPr>
        <w:t>E. 5</w:t>
      </w:r>
    </w:p>
    <w:p>
      <w:r>
        <w:t>Les recourants motivent leur besoin d’emménager dans un appartement plus grand et plus cher par la difficulté de faire cohabiter dans leur ancien appartement les six enfants qui vivent avec eux à la suite de la naissance du dernier. Ils omettent de prendre en considération qu'ils ont présenté le 6 novembre 2009 à la DLO une demande d'allocation faisant état d'une cohabitation avec leurs seuls cinq derniers enfants. Cela correspondait d’ailleurs à la réalité puisqu'ils ont expliqué dans leur recours que leur fils aîné avait trouvé dès le mois de décembre 2009 un logement à l’extérieur. De fait, ils ont déménagé d'un appartement de six pièces moins onéreux dans un appartement du même nombre de pièces, certes plus grand, mais plus cher, au moment-même où ils étaient moins nombreux qu'auparavant à partager la même demeure. Le déménagement était donc lié à des motifs de convenance personnelle sans être motivé par l'existence d'inconvénients majeurs au sens de la jurisprudence précitée. C'est dès lors à juste titre que l'allocation logement leur a été refusée par l’OLO.</w:t>
      </w:r>
    </w:p>
    <w:p>
      <w:r>
        <w:rPr>
          <w:b/>
        </w:rPr>
        <w:t>E. 6</w:t>
      </w:r>
    </w:p>
    <w:p>
      <w:r>
        <w:t>Le recours sera rejeté. Les recourants plaidant au bénéfice de l’assistance juridique, aucun émolument ne sera perçu (art. 87 LPA ;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