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ATA/756/2016 vom 6. September 2016</w:t>
      </w:r>
    </w:p>
    <w:p>
      <w:r>
        <w:t>GE Cour de justice, 2016-09-06, FR</w:t>
      </w:r>
    </w:p>
    <w:p>
      <w:r>
        <w:rPr>
          <w:b/>
        </w:rPr>
        <w:t xml:space="preserve">Quelle: </w:t>
      </w:r>
      <w:r>
        <w:t>https://mcp.opencaselaw.ch/entscheid/ge_gerichte_ATA_756_2016</w:t>
      </w:r>
    </w:p>
    <w:p>
      <w:r>
        <w:t>FR: GE_GERICHTE ATA/756/2016 du 6 septembre 2016</w:t>
      </w:r>
    </w:p>
    <w:p>
      <w:r>
        <w:t>IT: GE_GERICHTE ATA/756/2016 del 6 settembre 2016</w:t>
      </w:r>
    </w:p>
    <w:p>
      <w:pPr>
        <w:pStyle w:val="Heading2"/>
      </w:pPr>
      <w:r>
        <w:t>Regeste</w:t>
      </w:r>
    </w:p>
    <w:p>
      <w:r>
        <w:t>Résumé: Violences conjugales graves, atteintes à l'intégrité sexuelle et psychique pendant la vie de couple. L'épouse se voit allouer CHF 15'000.- par jugement pénal à titre de tort moral. L'instance d'indemnisation LAVI lui octroie CHF 8'000. En l'absence de facteurs limitatifs, l'instance LAVI n'a intégré ni la gravité ni la durée des souffrances subies. Montant alloué à titre de réparation morale augmenté à CHF 12'000.-.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w:t>
      </w:r>
    </w:p>
    <w:p>
      <w:r>
        <w:rPr>
          <w:b/>
        </w:rPr>
        <w:t>E. 2</w:t>
      </w:r>
    </w:p>
    <w:p>
      <w:r>
        <w:t>Selon l’art. 61 LPA, le recours peut être formé pour violation du droit y compris l’excès et l’abus du pouvoir d’appréciation (al. 1 let. a), pour constatation inexacte ou incomplète des faits pertinents (al. 1 let. b) ; les juridictions administratives n’ont pas compétence pour apprécier l’opportunité de la décision attaquée, sauf exception prévue par la loi (al. 2).</w:t>
      </w:r>
    </w:p>
    <w:p>
      <w:r>
        <w:rPr>
          <w:b/>
        </w:rPr>
        <w:t>E. 3</w:t>
      </w:r>
    </w:p>
    <w:p>
      <w:r>
        <w:t>La loi fédérale sur l'aide aux victimes d'infractions du 4 octobre 1991 (aLAVI) a été abrogée à la suite de l'entrée en vigueur de la LAVI (art. 46 LAVI), soit le 1er janvier 2009. L'ancien droit reste toutefois applicable aux requêtes déposées pour des faits qui se sont déroulés avant l'entrée en vigueur de la novelle (art. 48 let. a LAVI). Les faits ayant entraîné une indemnisation s'étant produits à partir de 2003 mais la dernière infraction ayant eu lieu en 2013, le nouveau droit</w:t>
      </w:r>
    </w:p>
    <w:p>
      <w:r>
        <w:t>- 5/10 - A/633/2016 s'applique. Il n'y a pas de droit transitoire (ATA/628/2012 du 18 septembre 2012 consid. 4).</w:t>
      </w:r>
    </w:p>
    <w:p>
      <w:r>
        <w:t>Entrée en vigueur le 1er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w:t>
      </w:r>
    </w:p>
    <w:p>
      <w:r>
        <w:rPr>
          <w:b/>
        </w:rPr>
        <w:t>E. 4</w:t>
      </w:r>
    </w:p>
    <w:p>
      <w:r>
        <w:t>Il est incontesté que la recourante a la qualité de victime (art. 1 al. 1 LAVI) et que le délai de péremption de cinq ans de l’art. 25 al. 1 LAVI a été respecté. En l’occurrence, seul est litigieux le montant de l’indemnité de réparation morale à allouer à la recourante en application des art. 22 ss LAVI.</w:t>
      </w:r>
    </w:p>
    <w:p>
      <w:r>
        <w:rPr>
          <w:b/>
        </w:rPr>
        <w:t>E. 5</w:t>
      </w:r>
    </w:p>
    <w:p>
      <w:r>
        <w:t>a. Aux termes de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w:t>
      </w:r>
    </w:p>
    <w:p>
      <w:r>
        <w:rPr>
          <w:b/>
        </w:rPr>
        <w:t>E. 9</w:t>
      </w:r>
    </w:p>
    <w:p>
      <w:r>
        <w:t>Compte tenu de ce qui précède, le recours sera admis partiellement, l'ordonnance attaquée annulée et un montant de CHF 12'000.- alloué à la recourante à titre de réparation morale.</w:t>
      </w:r>
    </w:p>
    <w:p>
      <w:r>
        <w:t>La procédure étant gratuite, il ne sera pas perçu d’émolument (art. 30 al. 1 LAVI cum 87 al. 1 LPA). Vu l’issue du litige, une indemnité de procédure de CHF 1’000.-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