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ATA/754/2025 vom 8. Juli 2025</w:t>
      </w:r>
    </w:p>
    <w:p>
      <w:r>
        <w:t>GE Cour de justice, 2025-07-08, FR</w:t>
      </w:r>
    </w:p>
    <w:p>
      <w:r>
        <w:rPr>
          <w:b/>
        </w:rPr>
        <w:t xml:space="preserve">Quelle: </w:t>
      </w:r>
      <w:r>
        <w:t>https://mcp.opencaselaw.ch/entscheid/ge_gerichte_ATA_754_2025</w:t>
      </w:r>
    </w:p>
    <w:p>
      <w:r>
        <w:t>FR: GE_GERICHTE ATA/754/2025 du 8 juillet 2025</w:t>
      </w:r>
    </w:p>
    <w:p>
      <w:r>
        <w:t>IT: GE_GERICHTE ATA/754/2025 del 8 luglio 2025</w:t>
      </w:r>
    </w:p>
    <w:p>
      <w:pPr>
        <w:pStyle w:val="Heading2"/>
      </w:pPr>
      <w:r>
        <w:t>Regeste</w:t>
      </w:r>
    </w:p>
    <w:p>
      <w:r>
        <w:t>Résumé: Recours d'une ressortissante philippine contre le refus d'octroi d'une autorisation de séjour pour cas de rigueur. Durée de séjour insuffisante, pas d'intégration remarquable. Ses possibilités de réintégration dans son pays d'origine n'apparaissent pas compromises. Elle ne justifie pas que sa présence serait indispensable dans le cadre d'une procédure pénale. Elle allègue avoir été victime de violence domestique. Malgré son altercation avec ses logeurs, sa situation n'est pas comparable à celle d'une victime de violence conjugale.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invoque une violation de son droit d'accès à la justice et à une enquête effective (art. 6 § 1 CEDH) et de l'interdiction de discriminer (art. 8 al. 1 et 2 Cst. ; art. 14 CEDH), au motif que le refus de lui octroyer une autorisation de séjour l'empêcherait, en sa qualité de victime de violences, de faire valoir ses droits.</w:t>
      </w:r>
    </w:p>
    <w:p>
      <w:r>
        <w:rPr>
          <w:b/>
        </w:rPr>
        <w:t>E. 2.1</w:t>
      </w:r>
    </w:p>
    <w:p>
      <w:r>
        <w:t>L'art. 6 CEDH traite du droit à un procès équitable. Toute personne a droit à ce que sa cause soit entendue équitablement, publiquement et dans un délai raisonnable, par un tribunal indépendant et impartial, établi par la loi, qui décidera notamment des contestations sur ses droits et obligations de caractère civil (art. 6 § 1 phr. 1 CEDH).</w:t>
      </w:r>
    </w:p>
    <w:p>
      <w:r>
        <w:rPr>
          <w:b/>
        </w:rPr>
        <w:t>E. 2.2</w:t>
      </w:r>
    </w:p>
    <w:p>
      <w:r>
        <w:t>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En vertu de l'art. 14 CEDH,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 européenne des droits de l'Homme (ci-après : CourEDH), l'art. 14 CEDH complète les autres clauses normatives de la Convention et des Protocoles. Il n'a pas d'existence indépendante puisqu'il vaut uniquement pour « la jouissance des droits et libertés » qu'elles garantissent. Certes, il peut entrer en jeu même sans un manquement à leurs exigences et, dans cette mesure, possède une portée autonome, mais il ne saurait trouver à s'appliquer si les faits du litige ne tombent pas sous l'empire de l'une au moins desdites clauses (arrêt de la CourEDH Glor c. Suisse du 30 avril 2009, § 45 ; ATF 139 I 257 consid. 5.2.1 ; arrêts du Tribunal fédéral 2C_396/2012 du 23 novembre 2012 consid. 2.3 ; 9C_521/2008 du</w:t>
      </w:r>
    </w:p>
    <w:p>
      <w:r>
        <w:rPr>
          <w:b/>
        </w:rPr>
        <w:t>E. 2.3</w:t>
      </w:r>
    </w:p>
    <w:p>
      <w:r>
        <w:t>En l'espèce, la recourante se plaint en particulier que son statut de migrante aurait « été interprété par les autorités genevoises – tant pénales qu'administratives – de manière totalement arbitraire, au point de devenir un obstacle à [son] accès […] à la justice ». De surcroît, le fait que son droit de participer activement à la procédure pénale dépende d'une décision du MP, qui devait évaluer si sa présence était jugée nécessaire à la procédure, serait « fondamentalement discriminatoire ».</w:t>
      </w:r>
    </w:p>
    <w:p>
      <w:r>
        <w:t>- 9/18 -</w:t>
      </w:r>
    </w:p>
    <w:p>
      <w:r>
        <w:t>A/1070/2024 À cet égard, il y a lieu de noter que l'intéressée a pu faire valoir ses droits dans le cadre de la présente procédure administrative, laquelle porte exclusivement sur le refus d’une autorisation de séjour. Pour le surplus, il n’appartient pas à la chambre administrative de se déterminer sur les droits procéduraux pénaux, et leur hypothétique violation, dans le cadre du présent recours, étant toutefois précisé que la recourante a pu, d'une part, saisir efficacement la chambre pénale de recours ainsi que le Tribunal fédéral afin de contester les ordonnances de non-entrée en matière rendues à l'encontre de ses logeurs et, d'autre part, former opposition à l'ordonnance pénale prononcée à son encontre. La recourante soutient que sa seule volonté de participer activement à la procédure pénale devrait suffire à lui permettre de rester en Suisse. L'art. 6 CEDH, pas plus du reste qu'une autre disposition de la CEDH, ne consacre toutefois pas de droit à l'obtention d'un titre de séjour du seul fait d'être partie à une procédure pénale en Suisse. Par ailleurs, l'on ne voit pas en quoi le fait d'exiger que la présence de l'intéressée soit nécessaire à la procédure pénale la placerait dans une situation discriminatoire. Or, il ne peut être retenu que sa présence à Genève serait nécessaire in casu, les pièces utiles figurant au dossier et un conseil la représentant devant les autorités et les juridictions compétentes. Le grief sera dès lors écarté. 3. Est litigieux le bien-fondé de la décision de l'OCPM, confirmée par le TAPI, refusant d'accorder à la recourante une autorisation de séjour pour cas de rigueur et ordonnant son renvoi de Suisse. 3.1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des Philippines. 3.2 L'art. 30 al. 1 let. b LEI permet de déroger aux conditions d'admission, telles que prévues aux art. 18 à 29 LEI, notamment dans le but de tenir compte des cas individuels d'une extrême gravité ou d'intérêts publics majeurs. 3.3 À teneur de l'art. 31 al. 1 OASA, lors de l'appréciation de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Selon l'art. 58a al. 1 LEI, pour évaluer l’intégration, l’autorité compétente tient compte des critères suivants : le respect de la sécurité et de l’ordre publics (let. a), le respect des valeurs de la Constitution (let. b), les compétences linguistiques</w:t>
      </w:r>
    </w:p>
    <w:p>
      <w:r>
        <w:t>- 10/18 -</w:t>
      </w:r>
    </w:p>
    <w:p>
      <w:r>
        <w:t>A/1070/2024 (let. c) et la participation à la vie économique ou l’acquisition d’une formation (let. d).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pour d'autres raisons personnelles majeures, telles que les conséquences négatives de la violence domestique ou du mariage forcé (art. 77f let. c ch. 4 OASA). Les critères énumérés à l'art. 31 al. 1 OASA,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[ci‑après : directives LEI], état au 1er juin 2025,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ATA/700/2025 du 24 juin 2025 consid. 4.6 ; directives LEI, ch. 5.6).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ATA/700/2025 précité consid. 4.9).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w:t>
      </w:r>
    </w:p>
    <w:p>
      <w:r>
        <w:t>- 11/18 -</w:t>
      </w:r>
    </w:p>
    <w:p>
      <w:r>
        <w:t>A/1070/2024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La jurisprudence requiert, de manière générale, une très longue durée (Minh Son NGUYEN/Cesla AMARELLE, Code annoté de droit des migrations, LEtr, vol. 2, 2017, p. 269). Par durée assez longue, la jurisprudence entend une période de sept à huit ans (arrêt du Tribunal administratif fédéral [ci-après : ATAF]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 S'agissant de l'intégration, le Tribunal administratif fédéral a considéré que, d'une manière générale,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(ATAF F-646/2015 du 20 décembre 2016 consid. 5.3). 3.4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w:t>
      </w:r>
    </w:p>
    <w:p>
      <w:r>
        <w:t>- 12/18 -</w:t>
      </w:r>
    </w:p>
    <w:p>
      <w:r>
        <w:t>A/1070/2024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ATA/619/2025 du 3 juin 2025 consid. 2.7).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(ATA/619/2025 précité consid. 2.7 ; ATA/506/2023 du 16 mai 2023 consid. 7.7). 3.5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 3.6 Selon l'art. 32 al. 1 OASA, une autorisation de courte durée ou une autorisation de séjour peut être accordée en vue de préserver des intérêts publics majeurs. Lors de l'appréciation, il convient notamment de tenir compte des motifs d'ordre politique (let. b) et de la nécessité de la présence d'un étranger dans une procédure pénale (let. d). 3.7 L’expression « intérêts publics majeurs » au sens de l’art. 30 al. 1 let. b LEI et de l’art. 32 OASA constitue une notion juridique indéterminée. Une application trop large serait incompatible avec la LEI et l’OASA (directives LEI, ch. 5.5). Les dispositions énoncées à l’art. 30 al. 1 LEI sont des dispositions potestatives. Par conséquent, l’autorité compétente est libre de décider, sur la base des conditions d’admission, si l’autorisation correspondante peut être délivrée. Elle dispose, à cet égard, d’une large marge d’appréciation (ATAF F-4448/2023 du 11 juin 2024 consid. 6.1). Dans des cas particuliers, le canton peut accorder à un étranger une autorisation de séjour. L’autorité cantonale doit cependant démontrer qu’elle a un intérêt particulièrement important, notamment dans le domaine culturel, économique ou fiscal, à l’octroi d’une telle autorisation (directives LEI, ch. 5.5). Des motifs de politique générale peuvent également être invoqués, par exemple lorsqu’un refus de délivrer une autorisation de séjour aurait de graves conséquences sur les relations internationales de la Suisse (art. 32 al. 1 let. b OASA ; directives LEI, ch. 5.5).</w:t>
      </w:r>
    </w:p>
    <w:p>
      <w:r>
        <w:t>- 13/18 -</w:t>
      </w:r>
    </w:p>
    <w:p>
      <w:r>
        <w:t>A/1070/2024 3.8 La jurisprudence admet un droit de séjour pour violence domestique lorsque l'auteur inflige des mauvais traitements systématiques à la victime pour affirmer sa supériorité et exercer un contrôle sur elle (ATF 138 II 229 consid. 3.2.2 ; arrêt du Tribunal fédéral 2C_295/2012 du 5 septembre 2012 consid. 3.2). La violence domestique peut être de nature tant physique que psychique.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(arrêt du Tribunal fédéral 2C_554/2009 du 12 mars 2010 consid. 2.1). L'octroi à une victime de violence domestique d'une autorisation de séjour qui lui est propre permet d'éviter qu'elle ne reste dans une communauté conjugale devenue objectivement insupportable pour elle dans le seul but d'éviter les conséquences négatives qu'aurait la séparation pour son droit de rester en Suisse (ATF 138 II 229 consid. 3.2.2 ; arrêt du Tribunal fédéral 2C_777/2018 du 8 avril 2019 consid. 4.3). 3.9 Depuis le 1er janvier 2025, les dispositions de l'art. 50 LEI s'appliquent non seulement au conjoint et aux enfants d'un ressortissant suisse ou du titulaire d'une autorisation d'établissement, mais aussi au conjoint et aux enfants du titulaire d'une autorisation de séjour ou de courte durée ou du bénéficiaire d'une admission provisoire. Elles s'appliquent également aux concubins qui, en vertu de l'art. 30 al. 1 let. b LEI, ont obtenu une autorisation de séjour pour rester avec leur partenaire en raison d'un cas individuel d'une extrême gravité (directives LEI, ch. 6.15.3.3). Le nouveau droit prévoit aussi que l'examen et la décision établissant l'existence ou non d'une violence domestique dans un cas individuel en vertu de la jurisprudence précitée relèvent de la compétence des autorités migratoires cantonales (directives LEI, ch. 6.15.3.3). En présence de déficits d'intégration dont il est établi qu'ils sont directement imputables à la violence domestique, la victime ne doit pas être défavorisée. La situation particulière de l'étranger doit donc être prise en compte de manière appropriée lors de l'appréciation des critères d'intégration. Les conséquences négatives de la violence domestique, notamment, justifient de déroger à ces critères (art. 77f let. c ch. 4 OASA ; directives LEI, ch. 6.15.3.3). 4. En l'espèce, la recourante se prévaut d'une constatation inexacte ou incomplète des faits ainsi que d'un abus du pouvoir d'appréciation. Elle invoque, par ailleurs, une violation des art. 30 al. 1 let. b LEI, 31 et 32 OASA, et 83 LEI. 4.1 L'intéressée se borne à réitérer sa version des faits, en arguant que le cas « impose de rappeler le contexte dans son ensemble ». Elle n'expose toutefois pas en quoi l'OCPM, puis le TAPI, auraient incorrectement établi les faits. Or, rien ne permet de retenir que les autorités précédentes auraient omis de tenir compte de faits pertinents susceptibles d'influencer l'issue du litige.</w:t>
      </w:r>
    </w:p>
    <w:p>
      <w:r>
        <w:t>- 14/18 -</w:t>
      </w:r>
    </w:p>
    <w:p>
      <w:r>
        <w:t>A/1070/2024 4.2 La recourante a déclaré à la police être arrivée en Suisse en 2018. Elle ne peut dès lors se prévaloir d'un séjour de longue durée. La durée de ce séjour doit en outre être relativisée au regard du fait qu’il a été effectué dans l’illégalité ou au bénéfice d'une simple tolérance. La condition du long séjour faisant défaut, il y a lieu d'examiner si les autres critères d'évaluation seraient de nature à admettre qu'un départ de ce pays la placerait dans une situation excessivement rigoureuse. L'intégration sociale de l'intéressée ne peut être qualifiée d'exceptionnelle ou de particulièrement réussie au sens de la jurisprudence. La recourante ne soutient pas avoir noué à Genève des liens affectifs ou amicaux particulièrement intenses, ni ne démontre maîtriser le français. Il n'apparaît pas non plus qu'elle se soit investie dans la vie associative ou culturelle genevoise durant son séjour. Comme l'a relevé à juste titre le TAPI, l'intégration professionnelle de la recourante, qui travaille dans le secteur de l'économie domestique, ne saurait non plus être qualifiée de remarquable. Celle-ci ne fait pas valoir qu'elle aurait acquis en Suisse des connaissances si spécifiques qu'elle ne pourrait en tirer profit dans un autre pays. Cette activité ne présente pas non plus un degré de réussite tel qu'il ne pourrait être exigé de sa part de la poursuivre dans son pays d'origine. L'intéressée est âgée de 50 ans et ses possibilités de réintégration dans son pays d'origine n'apparaissent pas compromises. Plusieurs membres de sa famille vivent aux Philippines, notamment sa mère, sa sœur et ses frères, étant rappelé qu'elle a quitté le pays à l'âge de 44 ans et qu'elle y a donc vécu la plus grande partie de sa vie. Elle en connaît ainsi les us et coutumes et en parle la langue. De surcroît, elle y est retournée lors de l'épidémie de COVID, alors qu'elle n'avait plus de travail. Si elle traversera une nécessaire phase de réadaptation à son retour, aucun élément ne permet de retenir que ce dernier constituerait un déracinement ou entraînerait pour elle une détresse profonde. S'il n'est pas contesté que la recourante présentait un état de stress post-traumatique à teneur de constats médicaux établis les 28 décembre 2021 et 23 mars 2022, elle ne démontre pas la gravité de ses problèmes de santé, ni que ces derniers nécessiteraient encore un traitement, lequel ne pourrait être prodigué dans son pays d'origine. Au contraire, elle explique « a[voir] longtemps souffert de [trouble de stress post-traumatique] et d'un état psychologique fragile ». Dans tous les cas, une grave maladie ne saurait justifier, à elle seule, la reconnaissance d'un cas de rigueur, l'aspect médical ne constituant qu'un élément parmi d'autres. Or, force est de constater que les autres éléments d’appréciation au sens de l’art. 31 al. 1 OASA ne plaident pas en faveur de la reconnaissance d’un cas individuel d’une extrême gravité. 4.3 À défaut d'un cas individuel d'extrême gravité, la recourante soutient qu'il conviendrait de retenir un intérêt public majeur. Ce dernier serait d'autant plus important qu'il concerne une femme, migrante, victime de violence domestique.</w:t>
      </w:r>
    </w:p>
    <w:p>
      <w:r>
        <w:t>- 15/18 -</w:t>
      </w:r>
    </w:p>
    <w:p>
      <w:r>
        <w:t>A/1070/2024 L'intéressée ne peut être suivie. Force est de constater que sa situation n'est pas comparable à celle d'une victime de violence conjugale – à laquelle il faudrait permettre de se séparer de son partenaire sans craindre de subir des conséquences négatives sur son droit de rester en Suisse. Même à considérer que son altercation avec ses logeurs devrait être prise en compte au titre de violence domestique telle que reconnue par la jurisprudence, le caractère unique de l'épisode relaté ne permettrait pas de retenir des mauvais traitements systématiques. Il y a en outre lieu de relever que le Tribunal fédéral a jugé, dans l'aspect pénal de son affaire, que les rapports médicaux versés au dossier ne permettaient pas de fonder des soupçons suffisants d'agression, ne donnant aucune indication sur l'origine des atteintes. Les causes les plus diverses pouvaient être à l'origine des symptômes présentés (arrêt du Tribunal fédéral 7B_107/2023 du 20 novembre 2024 consid. 2.4.3). Vu l'arrêt précité, rendu le 20 novembre 2024, et contrairement à ce qu'affirme la recourante, il n'existe pas non plus un intérêt public majeur justifiant que cette dernière demeure en Suisse durant la « procédure pénale ouverte pour des faits de violence ». Pour le surplus, la recourante n'allègue ni n'établit que ses déficits d'intégration seraient directement imputables à la violence domestique dont elle allègue avoir été victime au mois de décembre 2021. Au vu de l'ensemble de ces éléments, l'OCPM n'a pas violé le droit ni abusé de son large pouvoir d'appréciation en retenant que la recourante ne remplissait pas les conditions restrictives permettant l'octroi d'une autorisation de séjour pour cas de rigueur.</w:t>
      </w:r>
    </w:p>
    <w:p>
      <w:r>
        <w:rPr>
          <w:b/>
        </w:rPr>
        <w:t>E. 5</w:t>
      </w:r>
    </w:p>
    <w:p>
      <w:r>
        <w:t>Reste à examiner si le renvoi de l'intéressée est conforme au droit.</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w:t>
      </w:r>
    </w:p>
    <w:p>
      <w:r>
        <w:rPr>
          <w:b/>
        </w:rPr>
        <w:t>E. 5.2</w:t>
      </w:r>
    </w:p>
    <w:p>
      <w:r>
        <w:t>Le SEM décide d'admettre provisoirement l'étranger si l'exécution du renvoi n'est pas possible, n'est pas licite ou ne peut être raisonnablement exigée (art. 83 al. 1 LEI). Ces trois conditions susceptibles d’empêcher l’exécution du renvoi sont de nature alternative : il suffit que l’une d’elles soit réalisée pour que le renvoi soit inexécutable (ATA/139/2025 du 4 février 2025 consid. 7.2).</w:t>
      </w:r>
    </w:p>
    <w:p>
      <w:r>
        <w:rPr>
          <w:b/>
        </w:rPr>
        <w:t>E. 5.3</w:t>
      </w:r>
    </w:p>
    <w:p>
      <w:r>
        <w:t>L'exécution du renvoi n'est pas licite lorsque le renvoi de l'étranger dans son État d'origine, dans son État de provenance ou dans un État tiers est contraire aux engagements de la Suisse relevant du droit international (art. 83 al. 3 LEI). Cette disposition vise notamment l’étranger pouvant démontrer qu’il serait exposé à un traitement prohibé par l’art. 3 CEDH ou l’art. 3 de la Convention contre la torture</w:t>
      </w:r>
    </w:p>
    <w:p>
      <w:r>
        <w:t>- 16/18 -</w:t>
      </w:r>
    </w:p>
    <w:p>
      <w:r>
        <w:t>A/1070/2024 et autres peines ou traitements cruels, inhumains ou dégradants du 10 décembre 1984 (Conv. torture - RS 0.105 ; ATA/270/2025 du 18 mars 2025 consid. 5.2).</w:t>
      </w:r>
    </w:p>
    <w:p>
      <w:r>
        <w:rPr>
          <w:b/>
        </w:rPr>
        <w:t>E. 5.4</w:t>
      </w:r>
    </w:p>
    <w:p>
      <w:r>
        <w:t>En l'espèce, dès lors que l'intimé a, à juste titre, refusé de soumettre le dossier de la recourante au SEM en vue de la délivrance d’une autorisation de séjour, il devait prononcer son renvoi de Suisse. Les arguments que la recourante soulève ont déjà été examinés plus haut, et celle-ci ne fournit aucun autre élément permettant de retenir que son renvoi aux Philippines serait illicite, impossible ou inexigible, ou d'une quelconque manière contraire aux engagements internationaux de la Suisse. Il ne ressort pas non plus du dossier que tel serait le cas, étant rappelé que c'est à Genève qu'elle a rencontré et que vivent les personnes contre lesquelles elle a porté plainte. En particulier, l'intéressée invoque en vain la Convention d'Istanbul, dès lors que celle-ci n'est pas self-executing, les dispositions de cette dernière ne créant pas de droits subjectifs en faveur des particuliers, mais seulement des obligations à l'égard des États parties (arrêts du Tribunal fédéral 1B_259/2021 du 19 août 2021 consid. 2.3 ; 6B_1015/2019 du 4 décembre 2019 consid. 5.5.7). Le grief sera donc également écarté. Il s'ensuit que le recours, mal fondé, sera rejeté.</w:t>
      </w:r>
    </w:p>
    <w:p>
      <w:r>
        <w:rPr>
          <w:b/>
        </w:rPr>
        <w:t>E. 6</w:t>
      </w:r>
    </w:p>
    <w:p>
      <w:r>
        <w:t>Vu l'issue du litige, un émolument de CHF 400.- sera mis à la charge de la recourante (art. 87 al. 1 LPA), qui ne peut se voir allouer 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