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ATA/753/2025 vom 8. Juli 2025</w:t>
      </w:r>
    </w:p>
    <w:p>
      <w:r>
        <w:t>GE Cour de justice, 2025-07-08, FR</w:t>
      </w:r>
    </w:p>
    <w:p>
      <w:r>
        <w:rPr>
          <w:b/>
        </w:rPr>
        <w:t xml:space="preserve">Quelle: </w:t>
      </w:r>
      <w:r>
        <w:t>https://mcp.opencaselaw.ch/entscheid/ge_gerichte_ATA_753_2025</w:t>
      </w:r>
    </w:p>
    <w:p>
      <w:r>
        <w:t>FR: GE_GERICHTE ATA/753/2025 du 8 juillet 2025</w:t>
      </w:r>
    </w:p>
    <w:p>
      <w:r>
        <w:t>IT: GE_GERICHTE ATA/753/2025 del 8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 F 2 10, la chambre administrative doit statuer dans les dix jours qui suivent sa saisine. Ayant reçu le recours le 1er juillet 2025 et statuant ce jour, elle respecte ce délai.</w:t>
      </w:r>
    </w:p>
    <w:p>
      <w:r>
        <w:rPr>
          <w:b/>
        </w:rPr>
        <w:t>E. 3</w:t>
      </w:r>
    </w:p>
    <w:p>
      <w:r>
        <w:t>Le recourant ne conteste pas que les conditions d'une mise en détention administrative sont remplies, ce qu’il convient néanmoins d’examiner brièvement.</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Selon l'art. 76 al. 1 let. b ch. 1 LEI, qui renvoie à l'art. 75 al. 1 let. h LEI, l'autorité compétente peut mettre en détention la personne condamnée pour crime (let. h), afin d'assurer l'exécution d’un renvoi ou d'expulsion. La notion de crime correspond à celle de l'art. 10 al. 2 du Code pénal suisse du 21 décembre 1937 (CP - RS 311.0).</w:t>
      </w:r>
    </w:p>
    <w:p>
      <w:r>
        <w:rPr>
          <w:b/>
        </w:rPr>
        <w:t>E. 3.3</w:t>
      </w:r>
    </w:p>
    <w:p>
      <w:r>
        <w:t>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Les ch. 3 et 4 de l'art. 76 LEI décrivent tous deux les comportements permettant de conclure à l'existence d'un risque de fuite ou de disparition (arrêt du Tribunal fédéral 2C_128/2009 du 30 mars 2009 consid. 3.1).</w:t>
      </w:r>
    </w:p>
    <w:p>
      <w:r>
        <w:t>- 6/12 - A/2096/2025</w:t>
      </w:r>
    </w:p>
    <w:p>
      <w:r>
        <w:rPr>
          <w:b/>
        </w:rPr>
        <w:t>E. 3.4</w:t>
      </w:r>
    </w:p>
    <w:p>
      <w:r>
        <w:t>En l’espèce, le recourant fait l’objet d’une décision de renvoi de l’OCPM du 15 mars 2024, définitive et exécutoire, et il a été condamné pour tentative de vol, infraction qualifiée de crime au sens de l’art. 10 al. 2 CP, si bien qu'une mise en détention administrative est justifiée à teneur de l'art. 76 al. 1 let. b ch. 1 cum 75 al. 1 let. h LEI. Au surplus, la mise en détention du recourant pouvait également se fonder sur l'art. 76 al. 1 let. b ch. 3 et 4 LEI, dans la mesure où il est sans domicile connu et a confirmé à de nombreuses reprises son refus catégorique de retourner en Algérie.</w:t>
      </w:r>
    </w:p>
    <w:p>
      <w:r>
        <w:rPr>
          <w:b/>
        </w:rPr>
        <w:t>E. 4</w:t>
      </w:r>
    </w:p>
    <w:p>
      <w:r>
        <w:t>juin 2019 consid. 4b et les références citées). Les autres pièces produites couvrent la période d’août 2023 à décembre 2024. Si elles attestent des problématiques médicales rencontrées elles ne sont que peu pertinentes pour établir la situation de l’intéressé début juillet 2025.</w:t>
      </w:r>
    </w:p>
    <w:p>
      <w:r>
        <w:t>- 9/12 - A/2096/2025 En conséquence seules sont pertinentes les questions du suivi du diabète et de la fistulectomie. Conformément à la jurisprudence précitée, le juge de la détention administrative doit seulement s'assurer qu'une décision de renvoi existe. Or, tel est le cas au vu de la décision de renvoi de l’OCPM du 15 mars 2024. L’exception prévue, à savoir que ce n'est que lorsque la décision de renvoi apparaît manifestement inadmissible, soit arbitraire ou nulle, que le juge de la détention peut, voire doit, refuser ou mettre fin à la détention administrative, n’apparaît pas réalisée en l’espèce. En effet, le commissaire a produit des documents, soit une plaquette de présentation du service de diabétologie endocrinologie et maladies métaboliques du centre hospitalo-universitaire Mustapha ainsi qu’un consulting médical d’une personne victime d’un diabète insulino-dépendant de type 1 du 3 mai 2023 évoquant à tout le moins deux autres établissements hospitaliers où le traitement et le suivi dudit diabète est possible. Le recourant n’indique pas et ne produit aucun document qui préciserait quelle spécificité du diabète LADA ne pourrait être prise en charge en Algérie. Il n’est pour le surplus pas allégué qu’il ne pourrait être procédé à la fistulectomie en Algérie, étant précisé que l’intéressé aurait pu y procéder depuis fin mars 2025 sans qu’il soit indiqué dans la procédure pour quel motif cela n’a pas encore été le cas. Ainsi, la lettre de sortie des soins aigus du 20 décembre 2024 mentionnait qu’il serait revu en proctologie dans quatre semaines et serait convoqué. Aucun document plus récent n’est produit en lien avec cette pathologie. Il est de même produit copie du journal officiel algérien fixant les modalités d’accès aux soins en faveur des démunis non assurés sociaux. Le recourant ne peut être suivi lorsqu’il indique qu’à défaut de proches sur place pour l’épauler, il ne serait pas en mesure d’obtenir la carte d’assuré. Il ressort de la dernière consultation aux HUG qu’il avait déjà pris contact avec un diabétologue lyonnais et se mettrait prochainement en rapport avec un spécialiste à Barcelone, ce qui témoigne de son indépendance et de sa capacité à entreprendre les démarches nécessaires. On doit ainsi retenir que les pathologies du recourant peuvent le cas échéant être traitées en Algérie, et qu’aucune des affections dont il fait état ne sont d’une gravité telle qu’un renvoi serait constitutif d’un traitement inhumain ou dégradant au sens de l’art. 3 CEDH. De surcroît, l’intéressé sera encore vu par le médecin mandaté par le SEM pour assurer, lors du départ, la surveillance médicale en vue de l’exécution d’un renvoi. Le grief sera ainsi écarté.</w:t>
      </w:r>
    </w:p>
    <w:p>
      <w:r>
        <w:rPr>
          <w:b/>
        </w:rPr>
        <w:t>E. 4.1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4.2</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4.3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w:t>
      </w:r>
    </w:p>
    <w:p>
      <w:r>
        <w:t>- 7/12 - A/2096/2025 destination de l'intéressé n'atteignent pas le standard élevé qu'on trouve en Suisse (ATAF 2011/50 du 2 mai 2011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4.5</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4.6</w:t>
      </w:r>
    </w:p>
    <w:p>
      <w:r>
        <w:t>L’Algérie, connait un régime de protection sociale généralisée couvrant tous les salariés contre les risques de maladie (arrêt du Tribunal administratif fédéral E-1264/2022 du 25 mars 2022).</w:t>
      </w:r>
    </w:p>
    <w:p>
      <w:r>
        <w:t>- 8/12 - A/2096/2025</w:t>
      </w:r>
    </w:p>
    <w:p>
      <w:r>
        <w:rPr>
          <w:b/>
        </w:rPr>
        <w:t>E. 4.7</w:t>
      </w:r>
    </w:p>
    <w:p>
      <w:r>
        <w:t>Le médecin mandaté par le SEM pour assurer, lors du départ, la surveillance médicale en vue de l’exécution d’un renvoi ou d’une expulsion a compétence pour décider si une personne est médicalement apte à être transportée dans le cadre de l’exécution d’un renvoi ou d’une expulsion (art. 15p de l’ordonnance sur l’exécution du renvoi et de l’expulsion d’étrangers, du 11 août 1999 [OERE - RS 142.281]) Le médecin visé à l’art. 15p OERE communique sans délai aux services visés à l’art. 71b al. 1 let. a et b LEI sa décision concernant l’aptitude au transport et les informations nécessaires à l’organisation du départ (art. 15r OERE).</w:t>
      </w:r>
    </w:p>
    <w:p>
      <w:r>
        <w:rPr>
          <w:b/>
        </w:rPr>
        <w:t>E. 4.8</w:t>
      </w:r>
    </w:p>
    <w:p>
      <w:r>
        <w:t>En l’espèce, il n’est pas contesté que le recourant souffre de plusieurs pathologies. Dans son recours, l’intéressé a évoqué une opération de la main droite, intervenue en août 2023. Il n’en fait toutefois plus mention ultérieurement et il peut être considéré que cette question est sans incidence sur l’issue du présent litige. L’intéressé a invoqué un abcès périanal, intervenu après la décision de renvoi, impliquant une intervention chirurgicale le 8 juin 2024. S’il explique, pièces à l’appui, que des fils de Prolène 4.0 auraient été retirés à tort, qu’ils ont dû être reposés le 4 décembre 2024, qu’ils doivent être gardés trois mois avant que ne soit organisé une « fistulectomie avec lambeau d’avancement », seul est pertinent le fait que cette dernière n’aurait pas encore été réalisée. Le recourant indique surtout souffrir d’un diabète atypique LADA. Le diagnostic principal de « diabète de type 1 ou LADA (Latent Autoimmun Diabetes of Adult) Anti-GAD + Anti-ilôts » ressort de plusieurs documents médicaux dont le rapport de consultation de diabétologie du 23 mai 2025 des Hôpitaux universitaires de Genève (ci-après : HUG). Celui-ci précise que l’intéressé, alors en détention pénale, allait être mis en liberté mi-juin. Une ordonnance de sortie avec insuline pour six mois, renouvelable pour la même période, ainsi que du matériel d’injection et de contrôle glycémique lui avaient été remis, avec la précision que la substitution par un générique de chacun des médicaments était autorisée. Le rapport précisait que le patient avait déjà pris contact avec un diabétologue à Lyon, puis prendrait contact avec un diabétologue espagnol dès qu’il arriverait à Barcelone. L’anamnèse évoquait des douleurs suite à la prise en charge d’un abcès fessier et précisait qu’une consultation post-opératoire était planifiée début juin 2025. Il a enfin évoqué avoir commencé une grève de la faim. Or, de jurisprudence constante, la détermination du recourant de mener une telle grève n’est pas de nature à rendre la détention administrative litigieuse incompatible avec l'interdiction de la torture et des peines ou traitements inhumains ou dégradants (ATA/968/2019 du</w:t>
      </w:r>
    </w:p>
    <w:p>
      <w:r>
        <w:rPr>
          <w:b/>
        </w:rPr>
        <w:t>E. 5.1</w:t>
      </w:r>
    </w:p>
    <w:p>
      <w:r>
        <w:t>Selon l'art. 76 al. 4 LEI, les démarches nécessaires à l'exécution du renvoi ou de l'expulsion doivent être entreprises sans tarder (« principe de célérité ou de diligence »).</w:t>
      </w:r>
    </w:p>
    <w:p>
      <w:r>
        <w:rPr>
          <w:b/>
        </w:rPr>
        <w:t>E. 5.2</w:t>
      </w:r>
    </w:p>
    <w:p>
      <w:r>
        <w:t>La détention en phase préparatoire et la détention en vue du renvoi ou de l’expulsion visées aux art. 75 à 77 LEI ainsi que la détention pour insoumission</w:t>
      </w:r>
    </w:p>
    <w:p>
      <w:r>
        <w:t>- 10/12 - A/2096/2025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5.3</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5.4</w:t>
      </w:r>
    </w:p>
    <w:p>
      <w:r>
        <w:t>En l’espèce, le recourant ne conteste pas, à juste titre, que les démarches ont été rapidement entreprises par les autorités. La durée de la mise en détention a été dûment justifiée et confirmée à raison par le TAPI. Après l’audition par les autorités algériennes, il y a en effet lieu que celles-ci répondent au SEM, puis émettent un laissez-passer, puis que les autorités suisses de migration réservent un vol et qu’elles puissent le cas échéant prendre d’autres mesures en cas d’échec de cette tentative, étant précisé que si ces étapes sont accomplies rapidement et que le recourant est rapatrié, sa détention administrative sera d’autant plus brève. Il existe un intérêt public à la détention et l’éloignement de la Suisse du recourant, non autorisé à séjourner en Suisse où il a commis notamment un crime. Cet intérêt prime l’intérêt privé du recourant à ne pas être, momentanément, privé de sa liberté. Enfin, il n'existe pas d'autres mesures moins contraignantes que la détention au vu de l'opposition manifestée à plusieurs reprises par le recourant à regagner son pays d'origine, étant rappelé que le recourant a été reconnu comme ressortissant algérien par les autorités de ce pays. Le recours, mal fondé, sera rejeté.</w:t>
      </w:r>
    </w:p>
    <w:p>
      <w:r>
        <w:rPr>
          <w:b/>
        </w:rPr>
        <w:t>E. 6</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