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ATA/753/2022 vom 26. Juli 2022</w:t>
      </w:r>
    </w:p>
    <w:p>
      <w:r>
        <w:t>GE Cour de justice, 2022-07-26, FR</w:t>
      </w:r>
    </w:p>
    <w:p>
      <w:r>
        <w:rPr>
          <w:b/>
        </w:rPr>
        <w:t xml:space="preserve">Quelle: </w:t>
      </w:r>
      <w:r>
        <w:t>https://mcp.opencaselaw.ch/entscheid/ge_gerichte_ATA_753_2022</w:t>
      </w:r>
    </w:p>
    <w:p>
      <w:r>
        <w:t>FR: GE_GERICHTE ATA/753/2022 du 26 juillet 2022</w:t>
      </w:r>
    </w:p>
    <w:p>
      <w:r>
        <w:t>IT: GE_GERICHTE ATA/753/2022 del 26 luglio 2022</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Le droit d'être entendu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t>b. Le recourant n'indique pas ce que son audition serait à même de démontrer. Il a pu s'exprimer par écrit devant le Conseil d'État et la chambre de céans et n'a pas fait usage de son droit à la réplique. Le dossier est en état d'être jugé sans qu'une telle audition soit nécessaire, étant rappelé que le recourant ne dispose pas d'un droit à être entendu oralement.</w:t>
      </w:r>
    </w:p>
    <w:p>
      <w:r>
        <w:t>Sa demande d'audition sera partant rejetée. 3)</w:t>
      </w:r>
    </w:p>
    <w:p>
      <w:r>
        <w:t>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4)</w:t>
      </w:r>
    </w:p>
    <w:p>
      <w:r>
        <w:t>Le litige concerne le refus d'octroi de la nationalité suisse et genevoise au recourant. 5)</w:t>
      </w:r>
    </w:p>
    <w:p>
      <w:r>
        <w:t>L’art. 50 de la loi sur la nationalité suisse du 20 juin 2014 (LN - RS 141.0), entrée en vigueur le 1er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w:t>
      </w:r>
    </w:p>
    <w:p>
      <w:r>
        <w:t>Le recourant ayant déposé sa demande de naturalisation auprès de l’autorité compétente le 5 novembre 2020, elle doit être traitée en application du nouveau droit, à savoir la LN, l'OLN, la loi sur la nationalité genevoise du 13 mars 1992 (LNat - A 4 05) et le règlement d’application du 15 juillet 1992 (RNat - A 4 05.01).</w:t>
      </w:r>
    </w:p>
    <w:p>
      <w:r>
        <w:t>- 7/14 - A/1124/2022 6) a. 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w:t>
      </w:r>
    </w:p>
    <w:p>
      <w:r>
        <w:t>Une intégration réussie se manifeste en particulier par le respect de la sécurité et de l’ordre publics (art. 12 al. 1 let. a LN).</w:t>
      </w:r>
    </w:p>
    <w:p>
      <w:r>
        <w:t>b. 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w:t>
      </w:r>
    </w:p>
    <w:p>
      <w:r>
        <w:t>c. Conformément à l'art. 12 LNat, le candidat doit en outre remplir différentes conditions d'aptitudes dont respecter la sécurité et l’ordre publics (let. b).</w:t>
      </w:r>
    </w:p>
    <w:p>
      <w:r>
        <w:t>d. 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Selon l'art. 4 al. 2 OLN, l’intégration du requérant n’est pas non plus considérée comme réussie lorsqu’il est enregistré dans le casier judiciaire informatisé VOSTRA et que l’inscription qui peut être consultée par le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w:t>
      </w:r>
    </w:p>
    <w:p>
      <w:r>
        <w:t>- 8/14 - A/1124/2022</w:t>
      </w:r>
    </w:p>
    <w:p>
      <w:r>
        <w:t>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w:t>
      </w:r>
    </w:p>
    <w:p>
      <w:r>
        <w:t>e. Dans le domaine de la nationalité, le secrétariat d’État aux migrations (ci- après : SEM) a établi une directive, à savoir le Manuel sur la nationalité.</w:t>
      </w:r>
    </w:p>
    <w:p>
      <w:r>
        <w:t>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w:t>
      </w:r>
    </w:p>
    <w:p>
      <w:r>
        <w:t>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p. 28 ss).</w:t>
      </w:r>
    </w:p>
    <w:p>
      <w:r>
        <w:t>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w:t>
      </w:r>
    </w:p>
    <w:p>
      <w:r>
        <w:t>- 9/14 - A/1124/2022</w:t>
      </w:r>
    </w:p>
    <w:p>
      <w:r>
        <w:t>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p. 36).</w:t>
      </w:r>
    </w:p>
    <w:p>
      <w:r>
        <w:t>f.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w:t>
      </w:r>
    </w:p>
    <w:p>
      <w:r>
        <w:t>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w:t>
      </w:r>
    </w:p>
    <w:p>
      <w:r>
        <w:t>g.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(ATA/13/2022 du 11 janvier 2022 consid. 10 et l'arrêt cité ; Andreas AUER/Giorgio MALINVERNI/Michel HOTTELIER, Droit constitutionnel suisse, vol. I, 3ème éd., n. 399 et 401 ; Céline GUTZWILLER, Droit de la nationalité et fédéralisme suisse, 2008, p. 535, n. 1407).</w:t>
      </w:r>
    </w:p>
    <w:p>
      <w:r>
        <w:t>h. Dans un cas récent, le TAF a rejeté le recours d'un couple de candidats à la naturalisation ordinaire compte tenu de leur condamnation, en cours de procédure de naturalisation, à soixante jours-amende à CHF 30.- l'unité, avec sursis durant trois ans, et à une amende de CHF 600.- pour avoir employé un étranger sans autorisation (arrêt du TAF F-5465/2020 du 10 mai 2021).</w:t>
      </w:r>
    </w:p>
    <w:p>
      <w:r>
        <w:t>Dans cet arrêt, l'intérêt public à lutter contre le travail au noir a été mis en exergue dans la mesure où il revêt une importance non négligeable. En effet, la gravité du travail au noir est à l'origine de nombreux problèmes, engendrant notamment, outre une perte de crédibilité de l'État en cas de non-respect de ses</w:t>
      </w:r>
    </w:p>
    <w:p>
      <w:r>
        <w:t>- 10/14 - A/1124/2022 lois, des pertes de recettes pour l'administration fiscale et les assurances sociales, ainsi que des distorsions de la concurrence. Il a ainsi été retenu que les intéressés n'avaient pas respecté l'ordre juridique suisse, étant relevé que le fait que l'autorité pénale ait fixé une peine pécuniaire assortie du sursis ne saurait lier l'autorisation décisionnelle en matière de naturalisation (arrêt du TAF F-5465/2020 précité consid. 7.3).</w:t>
      </w:r>
    </w:p>
    <w:p>
      <w:r>
        <w:t>i. Dans un arrêt F-897/2017 du 5 février 2019, le TAF a considéré qu'une peine pécuniaire de dix jours-amende avec sursis infligée pour conduite d'un véhicule avec un permis de conduire à l'essai échu, qualifiée de clémente, était contrebalancée par le fait que cette infraction ne constituait pas un acte isolé, ni ne tenait compte du fait que l'intéressée avait été interceptée alors qu'elle circulait à contresens de la route. En outre, le tribunal pénal avait fixé le jour-amende à un montant très élevé (soit à CHF 510.-) et avait prévu un délai d'épreuve de trois ans, alors que la durée légale minimale de ce délai était de deux. Assurément, ledit tribunal n'aurait pas fixé le délai d'épreuve à trois ans s'il avait estimé que le comportement punissable de l'intéressée était de peu de gravité et n'emportait aucune mise en danger d'autrui. Il apparaissait au contraire qu'aux yeux du tribunal pénal, l'intérêt public commandait de mettre l'intéressée à l'épreuve pendant une durée prolongée (consid. 4.1.4). 7)</w:t>
      </w:r>
    </w:p>
    <w:p>
      <w:r>
        <w:t>En l'espèce, le recourant ne remet pas en cause le fait qu'il a été condamné définitivement par ordonnance pénale du MP du 24 avril 2017 à une peine pécuniaire de 60 jours-amende, assortie du sursis pendant trois ans, pour violation d'une obligation d'entretien.</w:t>
      </w:r>
    </w:p>
    <w:p>
      <w:r>
        <w:t>Cette inscription ne figurait plus dans l'extrait de son casier judiciaire destiné à des particuliers du 6 novembre 2020, conformément à l'art. 371 al. 3bis du Code pénal suisse du 21 décembre 1937 (CP - RS 311.0), dans la mesure où le recourant a subi avec succès la mise à l'épreuve de trois ans. En revanche, ladite inscription ne sera radiée d'office qu'après un délai de dix ans (art. 369 al. 3 CP).</w:t>
      </w:r>
    </w:p>
    <w:p>
      <w:r>
        <w:t>Le recourant n'ayant pas formé opposition à l'ordonnance pénale du 24 avril 2017, qui lui a été notifiée le 5 mai 2017, cette condamnation est définitive et il n'y a pas lieu d'y revenir, ce d'autant moins que le recourant n'a fourni aucun élément qui viendrait infirmer les constats et considérations retenus dans celle-ci. À cet égard, contrairement à ce qu'il soutient, il n'a pas été question de sanctionner uniquement le non-versement de trois mensualités de CHF 100.- en faveur de sa fille mineure, mais onze mois de non-paiement de la contribution d'entretien due à hauteur de CHF 180.- par mois. De plus, et comme justement relevé par l'autorité intimée, alors qu'il avait bénéficié d'une suspension de la procédure pénale pour mettre à jour l'arriéré dû, il n'a pas respecté l'engagement pris devant le MP qui a été contraint de rendre l'ordonnance pénale en cause à son encontre.</w:t>
      </w:r>
    </w:p>
    <w:p>
      <w:r>
        <w:t>- 11/14 - A/1124/2022</w:t>
      </w:r>
    </w:p>
    <w:p>
      <w:r>
        <w:t>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w:t>
      </w:r>
    </w:p>
    <w:p>
      <w:r>
        <w:t>Certes, le recourant n'a pas fait l'objet d'autres condamnations avant ou après celle précitée. Néanmoins, l'infraction commise concerne la contribution due en faveur de sa fille mineure. Le fait qu'il se soit abstenu de la verser a contraint le SCARPA à se substituer aux droits de la mère et à déposer plainte pénale pour en obtenir le versement. Ce délit revêt assurément une importance certaine et doit être combattu pour des raisons économiques, sociales et juridiques.</w:t>
      </w:r>
    </w:p>
    <w:p>
      <w:r>
        <w:t>Par conséquent et au vu de la condamnation dont a fait l'objet le recourant, en application de l'art. 4 al. 3 OLN, son intégration ne peut pas être considérée comme réussie.</w:t>
      </w:r>
    </w:p>
    <w:p>
      <w:r>
        <w:t>Le fait que l'autorité pénale ait fixé une peine pécuniaire assortie du sursis ne lie pas l'autorisation décisionnelle en matière de naturalisation (dans le même sens ATF 130 II 493 consid. 4.2 ; ATAF F-5465/2020 précité consid. 7.3).</w:t>
      </w:r>
    </w:p>
    <w:p>
      <w:r>
        <w:t>La nationalité suisse de ses deux filles ne modifie en rien ce qui précède, dans la mesure où l'examen des conditions se fait à l'aune de la situation individuelle du candidat, étant relevé au surplus que la demande de naturalisation concernait le recourant personnellement.</w:t>
      </w:r>
    </w:p>
    <w:p>
      <w:r>
        <w:t>Enfin, le recourant n’a pas annoncé l'existence de la procédure pénale ayant donné lieu à sa condamnation du 24 avril 2017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w:t>
      </w:r>
    </w:p>
    <w:p>
      <w:r>
        <w:t>Compte tenu de ces éléments, le Conseil d'État pouvait, sans abuser de son pouvoir d'appréciation ni violer le principe de proportionnalité, rejeter la demande de naturalisation ordinaire du recourant, étant rappelé que ce dernier pourra déposer une nouvelle demande dès le 5 mai 2027, s’il s’y estime fondé.</w:t>
      </w:r>
    </w:p>
    <w:p>
      <w:r>
        <w:t>Au vu de ce qui précède, le recours sera rejeté.</w:t>
      </w:r>
    </w:p>
    <w:p>
      <w:r>
        <w:t>- 12/14 - A/1124/2022 8)</w:t>
      </w:r>
    </w:p>
    <w:p>
      <w:r>
        <w:t>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