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ATA/752/2012 vom 1. November 2012</w:t>
      </w:r>
    </w:p>
    <w:p>
      <w:r>
        <w:t>GE Cour de justice, 2012-11-01, FR</w:t>
      </w:r>
    </w:p>
    <w:p>
      <w:r>
        <w:rPr>
          <w:b/>
        </w:rPr>
        <w:t xml:space="preserve">Quelle: </w:t>
      </w:r>
      <w:r>
        <w:t>https://mcp.opencaselaw.ch/entscheid/ge_gerichte_ATA_752_2012</w:t>
      </w:r>
    </w:p>
    <w:p>
      <w:r>
        <w:t>FR: GE_GERICHTE ATA/752/2012 du 1 novembre 2012</w:t>
      </w:r>
    </w:p>
    <w:p>
      <w:r>
        <w:t>IT: GE_GERICHTE ATA/752/2012 del 1 novembre 2012</w:t>
      </w:r>
    </w:p>
    <w:p>
      <w:pPr>
        <w:pStyle w:val="Heading2"/>
      </w:pPr>
      <w:r>
        <w:t>Erwägungen</w:t>
      </w:r>
    </w:p>
    <w:p>
      <w:r>
        <w:rPr>
          <w:b/>
        </w:rPr>
        <w:t>E. 1</w:t>
      </w:r>
    </w:p>
    <w:p>
      <w:r>
        <w:t>Interjeté le lundi 22 octobre 2012 contre le jugement du TAPI reçu le 11 octobre 2012,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1.3</w:t>
      </w:r>
    </w:p>
    <w:p>
      <w:r>
        <w:t>; H. SEILER, Handkommentar zum Bundesgerichtsgesetz [BGG], Berne 2007, n. 33 ad art. 89 LTF p. 365 ; K. SPUHLER/ A. DOLGE/ D. VOCK, Kurzkommentar zum Bundesgerichtsgesetz [BGG], Zurich/St-Gall 2006, n. 5 ad art. 89 LTF p. 167).</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ou encore la décision attaquée a été exécutée et a sorti tous ses effets (ATF 125 I 394 consid. 4 p. 396- 398 ; 120 Ia 165 consid. 1a p. 166 et les réf. cit. ; ATA/328/2009 du 30 juin 2009 consid. 3 ; ATA/192/2009 du 21 avril 2009).</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w:t>
      </w:r>
    </w:p>
    <w:p>
      <w:r>
        <w:t>- 5/8 - A/3019/2012</w:t>
      </w:r>
    </w:p>
    <w:p>
      <w:r>
        <w:t>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w:t>
      </w:r>
    </w:p>
    <w:p>
      <w:r>
        <w:t>En l'espèce, l’officier de police a conclu uniquement à l'annulation du jugement du TAPI, sans demander la réintégration de l'intimé. En outre, des situations similaires - impliquant l'intimé ou d'autres personnes de nationalité étrangère - peuvent se produire en tout temps. Dans ces conditions, il convient de déclarer le recours recevable, en faisant abstraction de l'exigence de l'intérêt actuel, et de trancher le litige cas échéant par une décision constatatoire.</w:t>
      </w:r>
    </w:p>
    <w:p>
      <w:r>
        <w:rPr>
          <w:b/>
        </w:rPr>
        <w:t>E. 2</w:t>
      </w:r>
    </w:p>
    <w:p>
      <w:r>
        <w:t>Selon l’art. 10 al. 2 LaLEtr, la chambre administrative doit statuer dans les dix jours qui suivent sa saisine. Ayant reçu le recours le 22 octobre 2012 et statuant ce jour, elle respecte ce délai.</w:t>
      </w:r>
    </w:p>
    <w:p>
      <w:r>
        <w:rPr>
          <w:b/>
        </w:rPr>
        <w:t>E. 3</w:t>
      </w:r>
    </w:p>
    <w:p>
      <w:r>
        <w:t>Selon la jurisprudence du Tribunal fédéral, la qualité pour recourir suppose un intérêt actuel au recours (ATF 135 I 79 consid. 1 p. 82 ; 131 II 361 consid. 1.2 p. 365 ; 128 II 34 consid. 1b p. 36 ; Arrêts du Tribunal fédéral 1C_133/2009 du</w:t>
      </w:r>
    </w:p>
    <w:p>
      <w:r>
        <w:rPr>
          <w:b/>
        </w:rPr>
        <w:t>E. 4</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L'étranger qui a fait l’objet d’une décision de renvoi peut être mis en détention administrative si des éléments concrets font craindre qu’il entend se soustraire à son expulsion, en particulier s’il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 dire lorsque les conditions en seront réunies. Il dispose pour ce faire d'une certaine</w:t>
      </w:r>
    </w:p>
    <w:p>
      <w:r>
        <w:t>- 6/8 - A/3019/2012 marge d'appréciation, ce d'autant qu'il doit en principe entendre l'intéressé (Arrêt du Tribunal fédéral 2C_935/2011 du 7 décembre 2011, consid. 3.3).</w:t>
      </w:r>
    </w:p>
    <w:p>
      <w:r>
        <w:rPr>
          <w:b/>
        </w:rPr>
        <w:t>E. 6</w:t>
      </w:r>
    </w:p>
    <w:p>
      <w:r>
        <w:t>En l’espèce, l'intimé a déclaré ne pas vouloir repartir en Espagne, pays dans lequel il est réadmis mais seulement dans son pays d'origine pour lequel il ne dispose d'aucun document d'identité et n'a entrepris aucune démarche en ce sens. Il a refusé de monter à bord du vol de retour prévu le 8 octobre 2012. Ces éléments suffisent à retenir le risque de fuite et le refus d'obtempérer aux injonctions des autorités. Son état de santé à ce moment là n'était pas la raison de son opposition, contrairement à ce qu'il allègue et à ce qu'a retenu le TAPI, puisqu'il n'en a pas fait état et a même déclaré à l'officier de police le même jour qu'il était en bonne santé et ne suivait pas de traitement médical.</w:t>
      </w:r>
    </w:p>
    <w:p>
      <w:r>
        <w:rPr>
          <w:b/>
        </w:rPr>
        <w:t>E. 7</w:t>
      </w:r>
    </w:p>
    <w:p>
      <w:r>
        <w:t>La détention administrative doit respecter le principe de la proportionnalité, garanti par l’art. 36 al. 3 de la Constitution fédérale de la Confédération suisse du 18 avril 1999 (Cst. -RS 101), qui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w:t>
      </w:r>
    </w:p>
    <w:p>
      <w:r>
        <w:t>En l'espèce, l'intimé a présenté au TAPI un certificat médical établi postérieurement à la mise en détention administrative, dont il ressort qu'une intervention chirurgicale devait avoir lieu et qu'avant celle-ci, un transport par avion était peu envisageable sous l'angle médical. Le médecin ayant délivré le certificat étant, selon l'officier de police, celui qui devrait aussi autoriser le transport de l'intimé par vol spécial, on voit mal qu'il change d'avis si le vol doit avoir lieu avant l'opération, dont la date aurait été fixée au 7 novembre 2012. Dans ces circonstances particulières, la détention administrative n’est plus apte à atteindre le but visé. Sous cet angle-là, le refus du TAPI de confirmer l'ordre de mise en détention administrative est justifié (art. 6 al. 4 let. d LaLEtr). Le jugement ne peut qu'être confirmé par substitution de motif.</w:t>
      </w:r>
    </w:p>
    <w:p>
      <w:r>
        <w:rPr>
          <w:b/>
        </w:rPr>
        <w:t>E. 8</w:t>
      </w:r>
    </w:p>
    <w:p>
      <w:r>
        <w:t>Au vu de ce qui précède, le recours sera rejeté.</w:t>
      </w:r>
    </w:p>
    <w:p>
      <w:r>
        <w:t>Aucun émolument ne sera perçu, la procédure étant gratuite (art. 11 al. 1 du règlement sur les frais, émoluments et indemnités en procédure administrative du 30 juillet 1986 - RFPA - E 5 10.03).</w:t>
      </w:r>
    </w:p>
    <w:p>
      <w:r>
        <w:t>Vu les éléments ayant conduit l'issue de litige, il ne sera pas alloué d’indemnité de procédure à l'intimé (art. 87 LPA).</w:t>
      </w:r>
    </w:p>
    <w:p>
      <w:r>
        <w:t>* * * * *</w:t>
      </w:r>
    </w:p>
    <w:p>
      <w:r>
        <w:t>- 7/8 - A/3019/2012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