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ATA/74/2013 vom 6. Februar 2013</w:t>
      </w:r>
    </w:p>
    <w:p>
      <w:r>
        <w:t>GE Cour de justice, 2013-02-06, FR</w:t>
      </w:r>
    </w:p>
    <w:p>
      <w:r>
        <w:rPr>
          <w:b/>
        </w:rPr>
        <w:t xml:space="preserve">Quelle: </w:t>
      </w:r>
      <w:r>
        <w:t>https://mcp.opencaselaw.ch/entscheid/ge_gerichte_ATA_74_2013</w:t>
      </w:r>
    </w:p>
    <w:p>
      <w:r>
        <w:t>FR: GE_GERICHTE ATA/74/2013 du 6 février 2013</w:t>
      </w:r>
    </w:p>
    <w:p>
      <w:r>
        <w:t>IT: GE_GERICHTE ATA/74/2013 del 6 febbraio 2013</w:t>
      </w:r>
    </w:p>
    <w:p>
      <w:pPr>
        <w:pStyle w:val="Heading2"/>
      </w:pPr>
      <w:r>
        <w:t>Regeste</w:t>
      </w:r>
    </w:p>
    <w:p>
      <w:r>
        <w:t>Résumé: Par son manque de réaction face à la dispute et aux vociférations des clients éméchés buvant de l'alcool dans son restaurant, le recourant a failli à son obligation de maintenir l'ordre dans son établissement, alors qu'il lui appartenait de gérer l'incident et, le cas échéant, de faire appel à la police. Il a également violé l'interdiction de servir de l'alcool à des personnes en état d'ébriété. En l'espèce, vu l'absence d'antécédents du recourant et au regard du principe de proportionnalité, l'amende de CHF 900.- infligée à l'exploitant par le Scom est réduite à CHF 500.-.</w:t>
      </w:r>
    </w:p>
    <w:p>
      <w:pPr>
        <w:pStyle w:val="Heading2"/>
      </w:pPr>
      <w:r>
        <w:t>Erwägungen</w:t>
      </w:r>
    </w:p>
    <w:p>
      <w:r>
        <w:rPr>
          <w:b/>
        </w:rPr>
        <w:t>E. 26</w:t>
      </w:r>
    </w:p>
    <w:p>
      <w:r>
        <w:t>septembre 2010 - LOJ - E 2 05 ; art. 62 al. 1 let. a de la loi sur la procédure administrative du 12 septembre 1985 - LPA - E 5 10). 2)</w:t>
      </w:r>
    </w:p>
    <w:p>
      <w:r>
        <w:t>M. G______ étant exploitant du café-restaurant X______et administrateur avec signature individuelle de la société L______ S.A., il est habilité à recourir, de sorte que le recours sera déclaré recevable. 3)</w:t>
      </w:r>
    </w:p>
    <w:p>
      <w:r>
        <w:t>Le recours porte sur l’amende de CHF 900.- prononcée par le SCOM au motif que le recourant n’a pas veillé au maintien de l’ordre dans son établissement, n’a pas pris les mesures utiles à cette fin et a servi des boissons alcooliques à un ou plusieurs clients en état d’ébriété. L’intéressé estime qu’il n’a commis aucune violation de la LRDBH. 4)</w:t>
      </w:r>
    </w:p>
    <w:p>
      <w:r>
        <w:t>Le recourant sollicite l’audition d’un témoin dans le but de confirmer que les faits décrits dans le rapport de police ne reflètent pas la réalité.</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b. En l’espèce, le rapport de dénonciation établi le 13 janvier 2011 par le poste de gendarmerie de Blandonnet relate précisément les constats effectués par la</w:t>
      </w:r>
    </w:p>
    <w:p>
      <w:r>
        <w:t>- 5/9 - A/1038/2012 police le 1er janvier 2011 dans le café-restaurant exploité par M. G______. Le dossier étant complet, la chambre administrative dispose des éléments nécessaires pour statuer sans donner suite à la demande d'audition de témoin présentée par le recourant. 5) a. L’exploitation à titre onéreux d’établissements voués à la restauration et au débit de boissons à consommer sur place est soumise à la LRDBH (art. 1 let. a LRDBH).</w:t>
      </w:r>
    </w:p>
    <w:p>
      <w:r>
        <w:t>b.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w:t>
      </w:r>
    </w:p>
    <w:p>
      <w:r>
        <w:t>c. L’exploitant doit veiller au maintien de l’ordre dans son établissement et prendre toutes les mesures utiles à cette fin (art. 22 al. 1 LRDBH).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(ATA/627/2011 du 4 octobre 2011 ; ATA/146/1999 du 2 mars 1999). Une éventuelle entrave à la sécurité publique n'est pas réprimée par l'art. 22 al. 2 LRDBH (ATA/627/2011 du 4 octobre 2011).</w:t>
      </w:r>
    </w:p>
    <w:p>
      <w:r>
        <w:t>d. L’exploitant et le personnel des cafés-restaurants ont en principe l’obligation de servir toute personne disposée à payer les mets ou boissons qu’elle commande et ayant une présentation et un comportement appropriés à la catégorie et au style de l’établissement (art. 28 al. 1 LRDBH). Il leur est toutefois interdit de servir des boissons alcooliques à des personnes en état d’ébriété (art. 49 al. 1 let. b LRDBH).</w:t>
      </w:r>
    </w:p>
    <w:p>
      <w:r>
        <w:t>- 6/9 - A/1038/2012</w:t>
      </w:r>
    </w:p>
    <w:p>
      <w:r>
        <w:t>e. En l’espèce, le café-restaurant exploité par le recourant est soumis à la LRDBH.</w:t>
      </w:r>
    </w:p>
    <w:p>
      <w:r>
        <w:t>L’intéressé estime n’avoir commis aucune infraction ni aucune nuisance. Il indique qu’il a toujours maintenu l’ordre dans son établissement. Il ajoute que, dans sa profession, les délations sont courantes et qu’en l’espèce, il s’agit d’« accusations arbitraires (…) d’origine médisante ».</w:t>
      </w:r>
    </w:p>
    <w:p>
      <w:r>
        <w:t>Il ressort du rapport établi par la police le 13 janvier 2011 que deux hommes « particulièrement éméchés », présentant un taux d’alcoolémie respectivement de 1,71 ‰ et 0,54 ‰ et ayant consommé respectivement de la bière et du vin, se disputaient dans le café-restaurant. L’un d’eux était agressif et vociférait dans l’établissement, ainsi que dans la rue. M. G______, qui se trouvait alors dans l’arrière-salle, sans veiller au maintien de l’ordre dans son établissement, a indiqué aux agents de police qu’il n’était pas au courant qu’un problème était survenu et qu’il n’avait pas à le gérer.</w:t>
      </w:r>
    </w:p>
    <w:p>
      <w:r>
        <w:t>Le recourant ne conteste pas que deux personnes avinées se sont disputées dans son établissement le 1er janvier 2011 et que celles-ci consommaient de l’alcool qui leur avait été servi dans le même établissement, malgré l’interdiction de servir des personnes en état d’ébriété. L’exploitant se trouvait alors dans l’arrière-salle, comme l’atteste le rapport de police. De par son absence de réaction face à la dispute et aux vociférations des clients, M. G______ a failli à son obligation de maintenir l’ordre dans son établissement. Contrairement à ce que soutient l’intéressé, il lui appartenait de gérer l’incident et, le cas échéant, de faire appel à la police.</w:t>
      </w:r>
    </w:p>
    <w:p>
      <w:r>
        <w:t>Au vu de ce qui précède, les violations à la LRDBH constatées par la police et reprochées à l’intéressé par le Scom sont avérées. A cet égard, peu importe que le recourant ait été dénoncé par des tiers comme il le soutient. 6) a. Est passible d’une amende administrative allant de CHF 100.- à CHF 60'000.- tout contrevenant à la LRDBH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(ATA/700/2012 du 16 octobre 2012 ; ATA/684/2012 du 9 octobre 2012 ; ATA/14/2011 du 11 janvier 2011 ; ATA/788/2010 du 16 novembre 2010 ; ATA/571/2010 du 31 août 2010 ; P. MOOR, Droit administratif : les actes administratifs et leur contrôle, vol. 2, Berne 2002, ch. 1.4.5.5, p. 139 ss).</w:t>
      </w:r>
    </w:p>
    <w:p>
      <w:r>
        <w:t>- 7/9 - A/1038/2012</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p. 141).</w:t>
      </w:r>
    </w:p>
    <w:p>
      <w:r>
        <w:t>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(ATA/71/2012 du 31 janvier 2012 ; ATA/14/2011 du 11 janvier 2011 ; ATA/788/2010 du 16 novembre 2010 ; ATA/571/2010 du 31 août 2010). La juridiction de céans ne la censure qu’en cas d’excès (ATA/160/2009 du 31 mars 2009). Enfin, l’amende doit respecter le principe de la proportionnalité (art. 36 al. 3 Cst. ; ATA/700/2012 du 16 octobre 2012 ; ATA/533/2010 du 4 août 2010 ; ATA/201/2010 du 23 mars 2010).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w:t>
      </w:r>
    </w:p>
    <w:p>
      <w:r>
        <w:t>c. En l’espèce, le Scom a infligé au recourant une amende d’un montant de CHF 900.-.</w:t>
      </w:r>
    </w:p>
    <w:p>
      <w:r>
        <w:t>Les violations à la LRDBH sont avérées. Le montant de l’amende paraît toutefois élevé. Le Scom ne donne aucune indication quant à d’éventuels antécédents mais, à la connaissance de la chambre de céans, le recourant n’a pas, par le passé, contrevenu à la LRDBH pour des motifs identiques et les infractions commises ne sont pas d’une gravité telle qu’il se justifie d’infliger à l’intéressé une amende de CHF 900.-, au regard du principe de proportionnalité. Pour tenir compte de l’ensemble de ces éléments et de l’ensemble des circonstances, la chambre administrative confirme l’amende dans son principe mais en réduit le montant à CHF 500.-. 7)</w:t>
      </w:r>
    </w:p>
    <w:p>
      <w:r>
        <w:t>Au vu de ce qui précède, le recours sera partiellement admis.</w:t>
      </w:r>
    </w:p>
    <w:p>
      <w:r>
        <w:t>- 8/9 - A/1038/2012 8)</w:t>
      </w:r>
    </w:p>
    <w:p>
      <w:r>
        <w:t>Vu l’issue du litige, aucun émolument ne sera infligé au Scom en raison de la nouvelle teneur de l’art. 87 al. 1 LPA en vigueur depuis le 27 septembre 2011. Un émolument de CHF 250.- sera mis à la charge de M. G______.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