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ATA/749/2015 vom 27. Juli 2015</w:t>
      </w:r>
    </w:p>
    <w:p>
      <w:r>
        <w:t>GE Cour de justice, 2015-07-27, FR</w:t>
      </w:r>
    </w:p>
    <w:p>
      <w:r>
        <w:rPr>
          <w:b/>
        </w:rPr>
        <w:t xml:space="preserve">Quelle: </w:t>
      </w:r>
      <w:r>
        <w:t>https://mcp.opencaselaw.ch/entscheid/ge_gerichte_ATA_749_2015</w:t>
      </w:r>
    </w:p>
    <w:p>
      <w:r>
        <w:t>FR: GE_GERICHTE ATA/749/2015 du 27 juillet 2015</w:t>
      </w:r>
    </w:p>
    <w:p>
      <w:r>
        <w:t>IT: GE_GERICHTE ATA/749/2015 del 27 luglio 2015</w:t>
      </w:r>
    </w:p>
    <w:p>
      <w:pPr>
        <w:pStyle w:val="Heading2"/>
      </w:pPr>
      <w:r>
        <w:t>Erwägungen</w:t>
      </w:r>
    </w:p>
    <w:p>
      <w:r>
        <w:rPr>
          <w:b/>
        </w:rPr>
        <w:t>E. 26</w:t>
      </w:r>
    </w:p>
    <w:p>
      <w:r>
        <w:t>septembre 2010 - LOJ - E 2 05 ; art. 10 al. 1 de la loi d’application de la loi fédérale sur les étrangers du 16 juin 1988 - LaLEtr - F 2 10 ; art. 17 et 62 al. 1 let. b de la loi sur la procédure administrative du 12 septembre 1985 - LPA - E 5 10). Il est ainsi recevable de ces points de vue.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de la loi fédérale sur le Tribunal fédéral du 17 juin 2005 - LTF - RS 173.110 p. 365 ; Karl SPUHLER/Annette DOLGE/Dominik VOCK, Kurzkommentar zum Bundesgerichtsgesetz [BGG], 2006, n. 5 ad art. 89 LTF p. 167). L’existence d’un intérêt actuel s’apprécie non</w:t>
      </w:r>
    </w:p>
    <w:p>
      <w:r>
        <w:t>- 9/14 - A/2304/2015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w:t>
      </w:r>
    </w:p>
    <w:p>
      <w:r>
        <w:t>d. La condition de l’intérêt actuel fait défaut en particulier lorsque, notamment, la décision attaquée a été exécutée et a sorti tous ses effets (ATF 125 I 394 consid. 4 ; 120 Ia 165 consid. 1a et les références citées ; ATA/328/2009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De plus, l’étranger faisant l’objet d’une décision de renvoi peut être placé en détention administrative en vue de l’exécution de celle-ci s’il a été condamné pour crime au sens de l’art. 10 al. 1 du Code pénal suisse du 21 décembre 1937 (CP - RS 311.0) ou s’il menace sérieusement d’autres personnes ou met gravement en danger leur vie ou leur intégrité corporelle et fait l’objet d’une poursuite pénale ou a été condamné pour ce motif (art. 75 al. 1 let. g et h et 76 al. 1 let. b ch. 1 LEtr).</w:t>
      </w:r>
    </w:p>
    <w:p>
      <w:r>
        <w:t>- 11/14 - A/2304/2015 8) a.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S'agissant des raisons qui permettent de tenir l'exécution du renvoi pour impossible, la jurisprudence a rappelé que ces raisons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 du Tribunal fédéral 2C_364/2013 du 1er mai 2013 consid. 4.1 et les arrêts cités). 9)</w:t>
      </w:r>
    </w:p>
    <w:p>
      <w:r>
        <w:t>En l’espèce, il n'est pas contesté que les conditions d'une mise en détention administrative soient remplies. En effet, M. A______ fait l'objet d'une décision de renvoi définitive et exécutoire, et il a été condamné à de nombreuses reprises pour des faits de vol, et à une reprise pour des faits de recel ainsi que d'escroquerie, toutes des infractions qui constituent des crimes au sens du CP. 10) Pour retenir que l'exécution du renvoi de l'intimé n'était pas envisageable dans un délai raisonnable et, partant, impossible, le TAPI s'est fondé sur trois éléments, à savoir la certitude que M. A______ ne monterait pas à bord du vol réservé le 8 juillet 2015, l'impossibilité d'organiser un vol avec escorte ou un vol spécial, et enfin de forts doutes sur la possibilité d'un placement ultérieur en détention pour insoumission, dès lors que l'intéressé ne disposait ni de documents d'identité ni d'un laissez-passer émis par les autorités irakiennes.</w:t>
      </w:r>
    </w:p>
    <w:p>
      <w:r>
        <w:t>Le TAPI s'est également fondé, sans toutefois mettre en relation cette affirmation avec d'éventuelles bases légales ou jurisprudentielles, sur l'absence de</w:t>
      </w:r>
    </w:p>
    <w:p>
      <w:r>
        <w:t>- 12/14 - A/2304/2015 circonstances nouvelles depuis la première mise en détention administrative de M. A______ en 2011. Il convient dès lors d'examiner en premier lieu cet aspect. 11) a.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comme la survenance d'un nouveau motif de détention ou la disparition de l'impossibilité dont était affecté le renvoi (arrêt du Tribunal fédéral 2A.211/2003 du 5 juin 2003 consid. 3.2). Tel peut par exemple être le cas si l'étranger part dans la clandestinité après la libération de sa première détention (cf. ATF 121 II 110 consid. 2d).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précité consid. 5.2).</w:t>
      </w:r>
    </w:p>
    <w:p>
      <w:r>
        <w:t>b.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w:t>
      </w:r>
    </w:p>
    <w:p>
      <w:r>
        <w:t>Dans ce dernier arrêt, le Tribunal fédéral n'a admis que cette condition était donnée que du fait que, depuis la première libération de l'étranger (de nationalité algérienne) en 2012, il était devenu possible d'effectuer à destination de l'Algérie des vols de ligne avec escorte policière, qui avaient permis l'exécution des renvois dans 26 % des cas ; il était en revanche constant que l'absence de collaboration de l'intéressé à son retour et l'impossibilité d'organiser des vols spéciaux subsistaient (arrêt du Tribunal fédéral 2C_658/2014 précité consid. 3.3). 12) En l'espèce, les seuls éléments nouveaux depuis la libération de l'intimé de sa première période de détention administrative sont de nouvelles condamnations pénales à son encontre, et le laissez-passer délivré par le SEM suivi de la réservation d'une place à bord d'un vol de ligne sans escorte. Or les premières ne permettent pas d'augmenter la probabilité d'une exécution du renvoi de l'intimé ; en effet, dès lors que celui-ci avait déjà été condamné pour crime avant 2011, le motif de détention y relatif était déjà donné à l'époque. De nouvelles</w:t>
      </w:r>
    </w:p>
    <w:p>
      <w:r>
        <w:t>- 13/14 - A/2304/2015 condamnations ne pourraient dès lors aujourd'hui changer la situation de M. A______ dans le cadre de la détention administrative que par rapport à l'examen de la proportionnalité de cette détention, l'intérêt public au renvoi s'étant accru ; cette circonstance n'entre toutefois pas en jeu en l'espèce, s'agissant de l'examen d'un ordre initial de mise en détention.</w:t>
      </w:r>
    </w:p>
    <w:p>
      <w:r>
        <w:t>Quant au laissez-passer délivré en application de l’art. 9 de l’ordonnance sur l’exécution du renvoi et de l’expulsion d’étrangers du 11 août 1999 (OERE - RS 142.281) par le DFJP, on ne peut considérer qu'il augmente notablement les chances de pouvoir exécuter le renvoi, le SEM ayant lui-même admis que les autorités irakiennes pourraient fort bien ne pas admettre M. A______ même en cas d'arrivée sans encombre à Bagdad. Le fait que l'intimé ait annoncé qu'il refuserait de monter à bord du vol de ligne sans escorte prévu initialement le 8 juillet 2015, sans être – contrairement à ce qui semble ressortir du jugement attaqué – déterminant, ne fait que renforcer ce constat.</w:t>
      </w:r>
    </w:p>
    <w:p>
      <w:r>
        <w:t>Pour le surplus, l'impossibilité d'organiser des vols spéciaux, aussi bien que des vols avec escorte, n'a pas changé depuis 2011, si bien que l'on ne peut en l'état considérer que la probabilité de réussite de l'exécution du renvoi de M. A______ se soit accrue de manière significative. Il en irait différemment si les autorités irakiennes avaient, de quelque manière que ce soit, donné leur accord au rapatriement de M. A______. 13) Le recours sera ainsi rejeté. 14) Vu la nature du litige, aucun émolument ne sera perçu (art. 87 al. 1 LPA ; art. 12 al. 1 du règlement sur les frais, émoluments et indemnités en procédure administrative du 30 juillet 1986 - RFPA - E 5 10.03). Vu l’issue de celui-ci, et dans la mesure où l'intimé y a conclu et a eu recours aux services d'un mandataire, une indemnité de procédure de CHF 1'000.- lui sera allouée,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