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ATA/747/2011 vom 6. Dezember 2011</w:t>
      </w:r>
    </w:p>
    <w:p>
      <w:r>
        <w:t>GE Cour de justice, 2011-12-06, FR</w:t>
      </w:r>
    </w:p>
    <w:p>
      <w:r>
        <w:rPr>
          <w:b/>
        </w:rPr>
        <w:t xml:space="preserve">Quelle: </w:t>
      </w:r>
      <w:r>
        <w:t>https://mcp.opencaselaw.ch/entscheid/ge_gerichte_ATA_747_2011</w:t>
      </w:r>
    </w:p>
    <w:p>
      <w:r>
        <w:t>FR: GE_GERICHTE ATA/747/2011 du 6 décembre 2011</w:t>
      </w:r>
    </w:p>
    <w:p>
      <w:r>
        <w:t>IT: GE_GERICHTE ATA/747/2011 del 6 dicembre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Les contribuables sont dorénavant divorcés mais ce changement d’état civil est sans incidence sur les taxations litigieuses relatives à l’ICC et l’IFD 2005 (ATA/470/2011 du 26 juillet 2011).</w:t>
      </w:r>
    </w:p>
    <w:p>
      <w:r>
        <w:rPr>
          <w:b/>
        </w:rPr>
        <w:t>E. 4</w:t>
      </w:r>
    </w:p>
    <w:p>
      <w:r>
        <w:t>L'art. 3 al. 1 LHID prévoit que les personnes physiques sont assujetties à l’impôt à raison du rattachement personnel, lorsque, au regard du droit fiscal, elles sont domiciliées dans le canton ou lorsque, sans interruption notable, elles y séjournent pendant trente jours au moins en exerçant une activité lucrative, ou pendant nonante jours au moins sans exercer d’activité lucrative. Selon l'art. 3 al. 2 LHID, une personne a son domicile dans le canton, au regard du droit fiscal, lorsqu’elle y réside avec l’intention de s’y établir durablement ou lorsqu’elle y a un domicile légal spécial en vertu du droit fédéral.</w:t>
      </w:r>
    </w:p>
    <w:p>
      <w:r>
        <w:rPr>
          <w:b/>
        </w:rPr>
        <w:t>E. 5</w:t>
      </w:r>
    </w:p>
    <w:p>
      <w:r>
        <w:t>A Genève, une nouvelle législation concernant l'imposition des personnes physiques est entrée en vigueur le 1er janvier 2010, qui n'a cependant changé en rien s'agissant des règles sur le domicile fiscal. Il convient néanmoins de prendre formellement en compte le droit en vigueur en 2007, lors de l'exercice fiscal litigieux, à savoir la aLIPP-I.</w:t>
      </w:r>
    </w:p>
    <w:p>
      <w:r>
        <w:t>Selon l'art. 2 aLIPP-I, qui reprend largement la formulation de la LHID, les personnes physiques sont assujetties à l'impôt à raison de leur rattachement personnel lorsqu'elles sont domiciliées ou séjournent dans le canton (art. 2 al. 1 aLIPP-I) ; une personne a son domicile dans le canton lorsqu'elle y réside avec l'intention de s'y établir durablement, ou lorsqu'elle y a un domicile légal spécial en vertu du droit fédéral (art. 2 al. 2 aLIPP-I) ; une personne séjourne dans le canton lorsque, sans interruption notable, elle y réside pendant trente jours au moins en exerçant une activité lucrative, ou pendant nonante jours au moins sans exercer d'activité lucrative (art. 2 al. 3 let. a et b aLIPP-I).</w:t>
      </w:r>
    </w:p>
    <w:p>
      <w:r>
        <w:t>- 9/13 - A/130/2008</w:t>
      </w:r>
    </w:p>
    <w:p>
      <w:r>
        <w:rPr>
          <w:b/>
        </w:rPr>
        <w:t>E. 6</w:t>
      </w:r>
    </w:p>
    <w:p>
      <w:r>
        <w:t>L'abondante jurisprudence du Tribunal fédéral concernant le domicile fiscal précise que l'imposition du revenu et de la fortune mobilière d'une personne revient au canton où cette personne a son domicile fiscal. Par domicile fiscal, il faut entendre en principe, comme le révèle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pp. 35 s.) ; une préférence affective pour l'un ou l'autre lieu de la part du contribuable ne revêt du reste aucun poids particulier (Arrêt du Tribunal fédéral 2C_472/2010 du 18 janvier 2011 consid. 2.2 ; ATF 125 I 54 consid. 2a ; 123 I 289 consid. 2b).</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w:t>
      </w:r>
    </w:p>
    <w:p>
      <w:r>
        <w:t>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(cf. ATF 132 I 29 consid. 4.2 et 4.3 et les références citées ; ATA/623/2011 du 4 octobre 2011).</w:t>
      </w:r>
    </w:p>
    <w:p>
      <w:r>
        <w:rPr>
          <w:b/>
        </w:rPr>
        <w:t>E. 7</w:t>
      </w:r>
    </w:p>
    <w:p>
      <w:r>
        <w:t>En l’espèce, il n’existe aucune convention de double imposition entre le Soudan et la Suisse.</w:t>
      </w:r>
    </w:p>
    <w:p>
      <w:r>
        <w:t>M. L______ demandant à ne pas être assujetti aux impôts cantonaux communaux, ainsi qu’à l’impôt fédéral direct en Suisse, c’est à lui qu’incombe le fardeau de la preuve pour démontrer qu’il est imposé au Soudan sur le revenu de son activité dépendante.</w:t>
      </w:r>
    </w:p>
    <w:p>
      <w:r>
        <w:t>- 10/13 - A/130/2008</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2e éd., Bâle 2002, p. 438 ; P. AGNER/B. JUNG/G. STEINMANN, Commentaire de la loi sur l'impôt fédéral direct, Zurich 2001, n. 2 ad art. 130, p. 421).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w:t>
      </w:r>
    </w:p>
    <w:p>
      <w:r>
        <w:t>- 11/13 - A/130/2008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rPr>
          <w:b/>
        </w:rPr>
        <w:t>E. 8</w:t>
      </w:r>
    </w:p>
    <w:p>
      <w:r>
        <w:t>En l’espèce, le recourant a toujours indiqué qu’en 2005, année litigieuse, il s’était constitué un nouveau domicile fiscal au Soudan. Son salaire lui était versé en francs suisses plutôt qu’en dollars au motif que le Soudan était sous le coup de sanctions des autorités américaines d’une part, et que les francs suisses étaient la monnaie utilisée par S______ et l’entité suisse de C______, avec laquelle celle-là était en affaires. Néanmoins, selon le dernier document produit par l’intéressé le 14 janvier 2011, le salaire indiqué est de USD 200'000.-, en contradiction complète avec toute l’argumentation développée précédemment à ce sujet.</w:t>
      </w:r>
    </w:p>
    <w:p>
      <w:r>
        <w:t>De plus, au motif que les autorités soudanaises ne délivrent pas aux particuliers une attestation prouvant qu’ils se sont acquittés d’un impôt prélevé à la source, le contribuable n’a jamais pu produire autre chose qu’une attestation selon laquelle son revenu était taxé à hauteur de 45 %, alors que selon les dernières explications fournies le 14 janvier 2011 à la chambre de céans, ledit revenu personnel n’était taxé à hauteur de 45 % que pour les cent premiers mille francs. A cet impôt à la source s’ajoutait toutefois une taxe de USD 10'000.- au titre d’ « expatriate tax », laquelle serait applicable à toute personne étrangère travaillant au Soudan. Le contribuable n’a ainsi jamais fourni la moindre attestation d’une autorité fiscale soudanaise, pas plus qu’un bulletin de salaire ou un relevé bancaire, desquels il apparaîtrait que ces impôts ont été prélevés sur son revenu.</w:t>
      </w:r>
    </w:p>
    <w:p>
      <w:r>
        <w:t>Il a en revanche produit en dernier lieu l’attestation de S______ datée du 27 décembre 2010, non traduite, faisant état d’un salaire annuel net de USD 145'000.-. La chambre de céans ne peut donc considérer que le recourant a rapporté la preuve du fait qu’il s’était acquitté en 2005 de ses impôts sur son revenu personnel au Soudan.</w:t>
      </w:r>
    </w:p>
    <w:p>
      <w:r>
        <w:rPr>
          <w:b/>
        </w:rPr>
        <w:t>E. 9</w:t>
      </w:r>
    </w:p>
    <w:p>
      <w:r>
        <w:t>Par ailleurs, et même si le couple n’a pas eu d’enfants, M. L______ revenait périodiquement à Genève, où sa femme habitait dans le domicile conjugal et où elle travaillait. Le domicile conjugal lui a d’ailleurs été attribué à lui-même à l’occasion du jugement de divorce et tous ces éléments démontrent que malgré ses affirmations, M. L______ avait, pour cette année-ci tout au moins, conservé un domicile fiscal à Genève.</w:t>
      </w:r>
    </w:p>
    <w:p>
      <w:r>
        <w:rPr>
          <w:b/>
        </w:rPr>
        <w:t>E. 10</w:t>
      </w:r>
    </w:p>
    <w:p>
      <w:r>
        <w:t>En tous points mal fondé, le recours sera rejeté. Vu l’issue du litige, un émolument de CHF 1'000.- sera mis à la charge des recourants, pris conjointement et solidairement. Vu l’issue du litige, il ne leur sera pas alloué d’indemnité de procédure (art. 87 LPA). * * * * *</w:t>
      </w:r>
    </w:p>
    <w:p>
      <w:r>
        <w:t>- 12/13 - A/130/2008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