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ATA/744/2013 vom 7. November 2013</w:t>
      </w:r>
    </w:p>
    <w:p>
      <w:r>
        <w:t>GE Cour de justice, 2013-11-07, FR</w:t>
      </w:r>
    </w:p>
    <w:p>
      <w:r>
        <w:rPr>
          <w:b/>
        </w:rPr>
        <w:t xml:space="preserve">Quelle: </w:t>
      </w:r>
      <w:r>
        <w:t>https://mcp.opencaselaw.ch/entscheid/ge_gerichte_ATA_744_2013</w:t>
      </w:r>
    </w:p>
    <w:p>
      <w:r>
        <w:t>FR: GE_GERICHTE ATA/744/2013 du 7 novembre 2013</w:t>
      </w:r>
    </w:p>
    <w:p>
      <w:r>
        <w:t>IT: GE_GERICHTE ATA/744/2013 del 7 novembre 2013</w:t>
      </w:r>
    </w:p>
    <w:p>
      <w:pPr>
        <w:pStyle w:val="Heading2"/>
      </w:pPr>
      <w:r>
        <w:t>Erwägungen</w:t>
      </w:r>
    </w:p>
    <w:p>
      <w:r>
        <w:rPr>
          <w:b/>
        </w:rPr>
        <w:t>E. 12</w:t>
      </w:r>
    </w:p>
    <w:p>
      <w:r>
        <w:t>septembre 1985 - LPA - E 5 10 ; art. 7 ch. 1 du règlement interne de la chambre administrative du 21 décembre 2010). 2)</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2 LPA).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n’a jamais bénéficié (ATF 127 II 132 ; 126 V 407 ; 116 Ib 344 ; ATA/84/2009 du 9 avril 2009 ; P.WEISSENBERG / A.HIRZEL, Der suspensiveffekt und andere vorsorgliche</w:t>
      </w:r>
    </w:p>
    <w:p>
      <w:r>
        <w:t>- 4/6 - A/3154/2013 Massnahme, p. 166 in I. HAENER / B. WALDMANN, Brennpunkte im Verwaltungsprozess, Fribourg 2013 ; U. HÄFELIN / G. MÜLLER / F. UHLMANN, Allgemeines Verwaltungsrecht, 6ème éd., 2010, n. 1800 ; P. MOOR / E. POLTIER, Droit administratif, vol. 2, 3ème éd., 2010, p. 814 n. 5, 8. 3. 3).</w:t>
      </w:r>
    </w:p>
    <w:p>
      <w:r>
        <w:t>b. Lorsqu’une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w:t>
      </w:r>
    </w:p>
    <w:p>
      <w:r>
        <w:t>Dans le premier cas, la chambre administrative pourra entrer en matière sur une requête en restitution de l’effet suspensif, aux conditions de l’art. 66 al. 2 LPA, 1’acceptation de celle-ci induisant, jusqu’à droit jugé ; le maintien des conditions antérieures. Il ne pourra pas en faire de même dans le deuxième cas, vu le caractère purement négatif de la décision administrative contestée. Dans cette dernière hypothèse, seul 1’octroi de mesures provisionnelles, aux conditions cependant restrictives de l’art. 21 LPA, est envisageable (ATA/833/2012 du 14 décembre 2012 consid. 3 ; ATA/603/2011 du 23 septembre 2011 consid. 2 ; ATA/280/2009 du 11 juin 2009 et ATA/278/2009 du 4 juin 2009). 4)</w:t>
      </w:r>
    </w:p>
    <w:p>
      <w:r>
        <w:t>A teneur de l’art. 21 LPA, l’autorité administrative peut ordonner, d’office ou sur requête, des mesures provisionnelles lorsqu’il est nécessaire de régler provisoirement la situation en cause jusqu’au prononcé de la décision finale. 5)</w:t>
      </w:r>
    </w:p>
    <w:p>
      <w:r>
        <w:t>Par ailleurs, selon la jurisprudence constante, les mesures provisionnelles – au sens de l’art. 66 al. 2 ou de l’art. 21 al. 1 LPA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 verfahren und Verwaltungsprozess, RDS 1997 II 253-420, 265). 6)</w:t>
      </w:r>
    </w:p>
    <w:p>
      <w:r>
        <w:t>Le recours est dirigé contre une décision d’interdiction d’exercer une activité commerciale et/ou financière sur le site aéroportuaire.</w:t>
      </w:r>
    </w:p>
    <w:p>
      <w:r>
        <w:t>Il résulte des textes légaux et réglementaires que l’AIG, établissement de droit public autonome, est propriétaire de l’ensemble des bâtiments, installations et aménagements compris dans le périmètre aéroportuaire (art. 4 al. 1 LAIG - H 3 25).</w:t>
      </w:r>
    </w:p>
    <w:p>
      <w:r>
        <w:t>- 5/6 - A/3154/2013</w:t>
      </w:r>
    </w:p>
    <w:p>
      <w:r>
        <w:t>Il n’est pas contesté que l'entreprise recourante n’a jamais été au bénéfice d’une concession ou autorisation de l'AIG lui permettant d’exercer son activité de valet de parking sur le site aéroportuaire, de sorte que la décision querellée revêt un caractère négatif et ne peut, par définition, faire l’objet d’une restitution d’effet suspensif dans le cadre d’une procédure de recours (ATA/696/2013 du 17 octobre 2013). 7)</w:t>
      </w:r>
    </w:p>
    <w:p>
      <w:r>
        <w:t>Sous l’angle de l’art. 21 LPA, le prononcé des mesures sollicitées reviendrait à faire droit aux conclusions au fond avant que la cause ne soit jugée puisque l'entreprise recourante pourrait ainsi continuer à déployer son activité sur le site aéroportuaire, ce qu’elle obtiendrait en cas d’annulation de la décision querellée. 8)</w:t>
      </w:r>
    </w:p>
    <w:p>
      <w:r>
        <w:t>Pour le surplus, l'entreprise recourante se contente d’alléguer qu’elle subirait un dommage financier majeur sans apporter d’éléments probants, cela alors même qu’elle soutient que l’activité qu’elle exerce effectivement sur le site aéroportuaire serait exempte de tout aspect financier. 9)</w:t>
      </w:r>
    </w:p>
    <w:p>
      <w:r>
        <w:t>La menace d'application de l'art. 292 CPS est accessoire à la mesure ordonnée et ne peut faire l'objet d'une appréciation indépendante sous l'angle des mesures provisionnelles. 10) La demande de mesures provisionnelles et la requête de restitution d’effet suspensif ne peuvent ainsi qu’être rejetées. 11) Le sort des frais sera réservé jusqu’à droit jugé au fond. LA CHAMBRE ADMINISTRATIVE rejette la demande de mesures provisionnelles du 30 septembre 2013 et la demande de restitution d'effet suspensif formulée le 2 octobre 2013 par l'entreprise X______ dans son recours contre la décision du 23 septembre 2013 de la direction générale de l’Aéroport international de Genève ; réserve le sort des frais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N______, représentant de la recourante ainsi qu'à Me Florian Albert Kohler, avocat de l'intimé.</w:t>
      </w:r>
    </w:p>
    <w:p>
      <w:r>
        <w:t>- 6/6 - A/3154/2013</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