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ATA/741/2012 vom 30. Oktober 2012</w:t>
      </w:r>
    </w:p>
    <w:p>
      <w:r>
        <w:t>GE Cour de justice, 2012-10-30, FR</w:t>
      </w:r>
    </w:p>
    <w:p>
      <w:r>
        <w:rPr>
          <w:b/>
        </w:rPr>
        <w:t xml:space="preserve">Quelle: </w:t>
      </w:r>
      <w:r>
        <w:t>https://mcp.opencaselaw.ch/entscheid/ge_gerichte_ATA_741_2012</w:t>
      </w:r>
    </w:p>
    <w:p>
      <w:r>
        <w:t>FR: GE_GERICHTE ATA/741/2012 du 30 octobre 2012</w:t>
      </w:r>
    </w:p>
    <w:p>
      <w:r>
        <w:t>IT: GE_GERICHTE ATA/741/2012 del 30 ottobre 2012</w:t>
      </w:r>
    </w:p>
    <w:p>
      <w:pPr>
        <w:pStyle w:val="Heading2"/>
      </w:pPr>
      <w:r>
        <w:t>Erwägungen</w:t>
      </w:r>
    </w:p>
    <w:p>
      <w:r>
        <w:rPr>
          <w:b/>
        </w:rPr>
        <w:t>E. 1</w:t>
      </w:r>
    </w:p>
    <w:p>
      <w:r>
        <w:t>a. La recevabilité d’un recours s’examinant d’office, il convient préalablement d’examiner celle-ci au regard de l’art. 65 de la loi sur la procédure administrative du 12 septembre 1985 (LPA - E 5 10) selon lequel l’acte de recours contient, sous peine d’irrecevabilité, la désignation de la décision attaquée et les conclusions du</w:t>
      </w:r>
    </w:p>
    <w:p>
      <w:r>
        <w:t>- 5/8 - A/2766/2012 recourant. En outre, celui-ci doit contenir l’exposé des motifs ainsi que l’indication des moyens de preuve. Les pièces dont dispose le recourant doivent être jointes.</w:t>
      </w:r>
    </w:p>
    <w:p>
      <w:r>
        <w:t>b. Le fait que des conclusions formelles ne ressortent pas expressément de l’acte de recours n’est pas en soi un motif d’irrecevabilité, pourvu que la chambre administrative et la partie adverse puissent comprendre avec certitude les fins du recourant (ATA/47/2012 du 24 janvier 2012 consid. 3).</w:t>
      </w:r>
    </w:p>
    <w:p>
      <w:r>
        <w:t>c. En l’espèce, le recourant, qui plaide en personne, n’a pas pris de conclusions formelles. Son acte de recours se résume en effet à une lettre rappelant de façon générale l’objet du présent litige. Il n’a par ailleurs produit aucune pièce, si ce n’est la décision attaquée. Cela étant, on peut déduire des termes utilisés qu’il conclut à l’annulation de la décision attaquée, estimant qu’une promotion par dérogation doit lui être accordée. Le recours sera donc déclaré recevable.</w:t>
      </w:r>
    </w:p>
    <w:p>
      <w:r>
        <w:rPr>
          <w:b/>
        </w:rPr>
        <w:t>E. 2</w:t>
      </w:r>
    </w:p>
    <w:p>
      <w:r>
        <w:t>La chambre de céans applique le droit d’office. Elle ne peut pas aller au-delà des conclusions des parties, sans être liée par les motifs invoqués (art. 69 LPA) ni par l’argumentation juridique développée dans la décision entreprise (P. MOOR / E. POLTIER, Droit administratif, vol. II,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w:t>
      </w:r>
    </w:p>
    <w:p>
      <w:r>
        <w:rPr>
          <w:b/>
        </w:rPr>
        <w:t>E. 3</w:t>
      </w:r>
    </w:p>
    <w:p>
      <w:r>
        <w:t>Le recourant fait valoir, en substance, que l’autorité intimée aurait dû lui accorder par dérogation une promotion en troisième année.</w:t>
      </w:r>
    </w:p>
    <w:p>
      <w:r>
        <w:t>a. Selon l’art. 44A de la loi sur l’instruction publique du 6 novembre 1940 (LIP – C 1 10), l’ECG appartient à l’enseignement secondaire pour la scolarité secondaire II.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w:t>
      </w:r>
    </w:p>
    <w:p>
      <w:r>
        <w:t>b. L’art. 47 al. 1 LIP délègue au Conseil d’Etat le pouvoir d’établir les conditions d’admission, de promotion et d’obtention des titres. Sur cette base, le Conseil d’Etat a adopté le règlement de l'enseignement secondaire du 14 octobre</w:t>
      </w:r>
    </w:p>
    <w:p>
      <w:r>
        <w:t>- 6/8 - A/2766/2012 1998 (RES - C 1 10.24).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w:t>
      </w:r>
    </w:p>
    <w:p>
      <w:r>
        <w:t>c. Dans ce cadre, l’autorité scolaire bénéficie d’un très large pouvoir d’appréciation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(P. MOOR, Droit administratif, vol. I : Les fondements généraux, 1994, p. 376 ss et les références citées).</w:t>
      </w:r>
    </w:p>
    <w:p>
      <w:r>
        <w:rPr>
          <w:b/>
        </w:rPr>
        <w:t>E. 4</w:t>
      </w:r>
    </w:p>
    <w:p>
      <w:r>
        <w:t>A teneur de l’art. 21 RES, les conditions de promotion sont déterminées par les règlements de formation ou d’études, d’école et de type d’école.</w:t>
      </w:r>
    </w:p>
    <w:p>
      <w:r>
        <w:t>S’agissant de la promotion par dérogation, la direction d’un établissement, sur proposition de la conférence des maîtres ou maîtresses ou des maîtres et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Un élève ne peut bénéficier de cette mesure deux années consécutives (art. 21 al. 2 RES).</w:t>
      </w:r>
    </w:p>
    <w:p>
      <w:r>
        <w:t>En fonction des circonstances qui ont entraîné l’échec, de la fréquentation régulière des cours et du comportement adopté par l’élève durant l’année, un élève non promu peut être autorisé à répéter l’année (art. 22 al. 1 RES). Toutefois, selon l’art. 22 RES, il ne peut y être autorisé deux années de suite ou deux degrés de suite (art. 22 al. 2 RES).</w:t>
      </w:r>
    </w:p>
    <w:p>
      <w:r>
        <w:rPr>
          <w:b/>
        </w:rPr>
        <w:t>E. 5</w:t>
      </w:r>
    </w:p>
    <w:p>
      <w:r>
        <w:t>En l’espèce, le recourant a obtenu une moyenne annuelle de 4,3. En revanche, dans quatre disciplines il a obtenu des notes inférieures à 4, si bien qu’il se trouve en situation d’échec, ce qu’il ne conteste d’ailleurs pas.</w:t>
      </w:r>
    </w:p>
    <w:p>
      <w:r>
        <w:rPr>
          <w:b/>
        </w:rPr>
        <w:t>E. 6</w:t>
      </w:r>
    </w:p>
    <w:p>
      <w:r>
        <w:t>Les progrès accomplis, la fréquentation régulière des cours et le comportement adopté par l’élève durant l’année ne constituent pas des conditions</w:t>
      </w:r>
    </w:p>
    <w:p>
      <w:r>
        <w:t>- 7/8 - A/2766/2012 d’application de l’art. 21 al. 2 RES, mais des critères permettant de déterminer si l’élève semble présenter les aptitudes nécessaires pour suivre l’enseignement du degré suivant avec succès.</w:t>
      </w:r>
    </w:p>
    <w:p>
      <w:r>
        <w:t>a. S’agissant des progrès accomplis, si l’on excepte le français et les mathématiques B, branches dans lesquelles le recourant a progressé au cours de l’année, ses notes ont stagné ou régressé dans de nombreuses autres branches, et ses épreuves de fin d’année se sont soldées pour trois d’entre elles - sur sept au total - par des échecs.</w:t>
      </w:r>
    </w:p>
    <w:p>
      <w:r>
        <w:t>b. S’agissant de la fréquentation régulière des cours, seul le nombre d’heures d’absence non excusées peut et doit être pris en compte. Or, M. X______ comptabilise 138 heures de telles absences au cours de l’année scolaire 2011- 2012, dont une grande majorité au second semestre. Un tel nombre d’heures est important, comme l’est d’ailleurs celui des arrivées tardives (55 durant l’année) et des renvois (7 dont trois pour arrivées tardives). Il met en évidence un comportement insatisfaisant de l’élève, révélateur d’un manque d’engagement ainsi que de motivation de celui-ci vis-à-vis des études.</w:t>
      </w:r>
    </w:p>
    <w:p>
      <w:r>
        <w:t>Dès lors qu’aucun des trois critères mentionnés par le règlement ne permettant d’envisager la réussite du troisième degré par le recourant si sa promotion était décidée, le maître responsable de groupe ou les autres enseignants de l’élève étaient en droit de renoncer à toute démarche auprès de la conférence des maîtres ou maîtresses en vue de la proposer. De même, la direction de l’ECG était en droit de ne pas faire usage de ses prérogatives pour décider d’elle-même d’une telle faveur. En prenant la décision attaquée, l’autorité intimée a donc à juste titre confirmé la position des instances de l’école fréquentée par le recourant.</w:t>
      </w:r>
    </w:p>
    <w:p>
      <w:r>
        <w:rPr>
          <w:b/>
        </w:rPr>
        <w:t>E. 7</w:t>
      </w:r>
    </w:p>
    <w:p>
      <w:r>
        <w:t>Le recours sera rejeté. Un émolument de CHF 400.- sera mis à la charge du recourant, qui succombe.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