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ATA/73/2011 vom 9. Mai 2006</w:t>
      </w:r>
    </w:p>
    <w:p>
      <w:r>
        <w:t>GE Cour de justice, 2006-05-09, FR</w:t>
      </w:r>
    </w:p>
    <w:p>
      <w:r>
        <w:rPr>
          <w:b/>
        </w:rPr>
        <w:t xml:space="preserve">Quelle: </w:t>
      </w:r>
      <w:r>
        <w:t>https://mcp.opencaselaw.ch/entscheid/ge_gerichte_ATA_73_2011</w:t>
      </w:r>
    </w:p>
    <w:p>
      <w:r>
        <w:t>FR: GE_GERICHTE ATA/73/2011 du 9 mai 2006</w:t>
      </w:r>
    </w:p>
    <w:p>
      <w:r>
        <w:t>IT: GE_GERICHTE ATA/73/2011 del 9 maggio 2006</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 art. 62 al. 1 let. b de la loi sur la procédure administrative du 12 septembre 1985 - LPA - E 5 10).</w:t>
      </w:r>
    </w:p>
    <w:p>
      <w:r>
        <w:rPr>
          <w:b/>
        </w:rPr>
        <w:t>E. 2</w:t>
      </w:r>
    </w:p>
    <w:p>
      <w:r>
        <w:t>a. Un étranger faisant l'objet d'une décision de renvoi peut être placé en détention administrative en vue de l’exécution de celle-ci lorsque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w:t>
      </w:r>
    </w:p>
    <w:p>
      <w:r>
        <w:t>- 5/7 - A/119/2011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c. De plus, un étranger faisant l'objet d'une décision de renvoi peut aussi être placé en détention administrative si les conditions de l'art. 76 al. 1 let. b LEtr sont réalisées, à savoir, notamment s'il menace sérieusement d'autres personnes ou met gravement en danger leur vie ou leur intégrité corporelle et fait l'objet d'une poursuite pénale ou a été condamné pour ce motif (art. 76 al. 1 let. b ch. 1 LEtr qui renvoie à l'art. 75 al. 1 let. g LEtr) ou s'il a été condamné pour crime (art. 76 al. 1 let. b ch. 1 LEtr qui renvoie à l’art. 75 al. 1 let. h LEtr).</w:t>
      </w:r>
    </w:p>
    <w:p>
      <w:r>
        <w:t>En l'espèce, le recourant fait l'objet d'une décision de renvoi définitive et exécutoire. Il est frappé d’une mesure d’interdiction d’entrée en Suisse et n’a pas de document d’identité. Il refuse de se conformer à l’injonction qui lui est faite par l’autorité en quittant volontairement la Suisse et n’a entrepris aucune démarche en ce sens.</w:t>
      </w:r>
    </w:p>
    <w:p>
      <w:r>
        <w:t>Au vu des éléments qui précèdent, la mise en détention administrative apparaît justifiée dans son principe, sans qu'il soit nécessaire de déterminer si les infractions à la LStup qu'il a commises sont suffisamment graves pour constituer une menace pour les tiers et une mise en danger de leur vie ou de leur intégrité corporelle (ATA/351/2010 du 19 mai 2010 et la jurisprudence citée).</w:t>
      </w:r>
    </w:p>
    <w:p>
      <w:r>
        <w:rPr>
          <w:b/>
        </w:rPr>
        <w:t>E. 3</w:t>
      </w:r>
    </w:p>
    <w:p>
      <w:r>
        <w:t>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w:t>
      </w:r>
    </w:p>
    <w:p>
      <w:r>
        <w:t>Dans la présente cause, les autorités compétentes ont agi avec diligence, puisque les démarches en vue du refoulement de l'intéressé ont débuté alors même</w:t>
      </w:r>
    </w:p>
    <w:p>
      <w:r>
        <w:t>- 6/7 - A/119/2011 que ce dernier était incarcéré et une place dans un avion à destination du Nigeria a été réservée à brève échéance.</w:t>
      </w:r>
    </w:p>
    <w:p>
      <w:r>
        <w:t>Les principes rappelés ci-dessus ont été respectés par l'autorité.</w:t>
      </w:r>
    </w:p>
    <w:p>
      <w:r>
        <w:rPr>
          <w:b/>
        </w:rPr>
        <w:t>E. 4</w:t>
      </w:r>
    </w:p>
    <w:p>
      <w:r>
        <w:t>En dernier lieu, la chambre relèvera que les allégations du recourants selon lesquelles il serait soudanais et non nigérian sont dénuées de substance. Au cours de la procédure d’asile, l’ODM a relevé l’inconsistance de cette affirmation. Ultérieurement, l’expertise de provenance a confirmé que M. S______ était originaire du Nigeria, ce que les autorités de ce pays ont confirmé par la délivrance d’un laissez-passer. Au surplus, le recourant n’a effectué aucune démarche concrète tendant à démontrer le contraire.</w:t>
      </w:r>
    </w:p>
    <w:p>
      <w:r>
        <w:rPr>
          <w:b/>
        </w:rPr>
        <w:t>E. 5</w:t>
      </w:r>
    </w:p>
    <w:p>
      <w:r>
        <w:t>Au vu de ce qui précède, le recours sera rejeté.</w:t>
      </w:r>
    </w:p>
    <w:p>
      <w:r>
        <w:t>Aucun émolument ne sera perçu, la procédure étant gratuite. Vu l'issue du litige, aucune indemnité ne sera allouée (art. 10-11 du règlement sur les frais, émoluments et indemnités en procédure administrative du 30 juillet 1986 - RFPA - E 5 10.03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