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ATA/736/2022 vom 14. Juli 2022</w:t>
      </w:r>
    </w:p>
    <w:p>
      <w:r>
        <w:t>GE Cour de justice, 2022-07-14, FR</w:t>
      </w:r>
    </w:p>
    <w:p>
      <w:r>
        <w:rPr>
          <w:b/>
        </w:rPr>
        <w:t xml:space="preserve">Quelle: </w:t>
      </w:r>
      <w:r>
        <w:t>https://mcp.opencaselaw.ch/entscheid/ge_gerichte_ATA_736_2022</w:t>
      </w:r>
    </w:p>
    <w:p>
      <w:r>
        <w:t>FR: GE_GERICHTE ATA/736/2022 du 14 juillet 2022</w:t>
      </w:r>
    </w:p>
    <w:p>
      <w:r>
        <w:t>IT: GE_GERICHTE ATA/736/2022 del 14 luglio 2022</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6 juillet 2022 et statuant ce jour, elle respecte ce délai. 3)</w:t>
      </w:r>
    </w:p>
    <w:p>
      <w:r>
        <w:t>Le recourant sollicite son audition et celle de son épouse.</w:t>
      </w:r>
    </w:p>
    <w:p>
      <w:r>
        <w:t>- 6/10 - A/2006/2022</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eu l’occasion de s’exprimer devant le commissaire de police et a été entendu par le TAPI. Il a pu exposer son point de vue devant la chambre de céans dans son recours et sa réplique. Il a pu produire toutes les pièces utiles. Il n’explique pas en quoi son audition permettrait d’apporter d’autres éléments utiles à la solution du litige. Il ne sera donc pas procédé à celle-ci.</w:t>
      </w:r>
    </w:p>
    <w:p>
      <w:r>
        <w:t>L’audition de son épouse n’apparaît pas non plus susceptible d’influer sur l’issue du litige. En effet, même en admettant qu’elle ait, comme le soutient le recourant, réservé des billets d’avion pour un vol le 16 août 2022 emmenant la famille, y compris le recourant, à G______ et qu’elle soit en train d’entreprendre des démarches en vue d’obtenir un titre de séjour pour le recourant, ces éléments ne seraient pas de nature à modifier l’issue du recours, comme cela sera exposé ci-après. Ainsi, il n’y a pas lieu non plus de procéder à l’audition de Mme C______. 4)</w:t>
      </w:r>
    </w:p>
    <w:p>
      <w:r>
        <w:t>Le recourant conteste l’existence des conditions de détention, faisant valoir qu’il est disposé à quitter la Suisse, toutefois pas pour l’B______, mais le F______.</w:t>
      </w:r>
    </w:p>
    <w:p>
      <w:r>
        <w:t>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t>b. À teneur de l'art. 76 al. 1 let. b ch. 1 LEI (cum art. 75 al. 1 let. c, g et h LEI), après notification d'une décision de première instance de renvoi ou d'une décision de première instance d'expulsion au sens des art. 66a ou 66abis CP, l'autorité</w:t>
      </w:r>
    </w:p>
    <w:p>
      <w:r>
        <w:t>- 7/10 - A/2006/2022 compétente peut, afin d'en assurer l'exécution, mettre en détention la personne concernée notamment si elle a franchi la frontière malgré une interdiction d’entrer en Suisse et n'a pu être renvoyée immédiatement, elle menace sérieusement d’autres personnes ou met gravement en danger leur vie ou leur intégrité corporelle et fait l’objet d’une poursuite pénale ou a été condamnée pour ce motif ou si elle a été condamnée pour crime. Il découle de la jurisprudence qu'une décision d'expulsion pénale au sens des art. 66a ou 66abis CP vaut comme interdiction d'entrée pour la durée prononcée par le juge pénal (ATA/730/2021 du 8 juillet 2021 consid. 4 ; ATA/179/2018 du 27 février 2018 consid. 4).</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t>c. En l’espèce, une décision d’expulsion pénale a été rendue le 21 juin 2019 pour une durée de cinq ans. Les conditions d’une détention administrative fondée sur les l'art. 76 al. 1 let. b ch. 1 LEI et art. 75 al. 1 let. c LEI sont donc remplies.</w:t>
      </w:r>
    </w:p>
    <w:p>
      <w:r>
        <w:t>Elles le sont également au regard du fait que le recourant a été condamné pour crime (art. 75 al. 1 let. h LEI) ainsi que, notamment, pour un trafic de cocaïne, soit une infraction susceptible de mettre sérieusement en danger la vie ou leur intégrité corporelle d’autres personnes (art. 75 al. 1 let. g LEI). 5)</w:t>
      </w:r>
    </w:p>
    <w:p>
      <w:r>
        <w:t>Reste à examiner si la détention ordonnée respecte le principe de la proportionnalité.</w:t>
      </w:r>
    </w:p>
    <w:p>
      <w:r>
        <w:t>a.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w:t>
      </w:r>
    </w:p>
    <w:p>
      <w:r>
        <w:t>- 8/10 - A/2006/2022 lorsque l'obtention des documents nécessaires au départ auprès d'un État qui ne fait pas partie des États Schengen prend du retard (art. 79 al. 2 let. b LEI).</w:t>
      </w:r>
    </w:p>
    <w:p>
      <w:r>
        <w:t>c.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(ATA/1436/2017 du 27 octobre 2017 consid.6a ; ATA/881/2015 du 28 août 2015 et les références citées).</w:t>
      </w:r>
    </w:p>
    <w:p>
      <w:r>
        <w:t>d. Le recourant prétend que sa détention ne serait pas nécessaire, car il ne s’oppose pas à un départ de Suisse, acceptant de partir pour le F______ avec sa compagne et ses deux enfants. Or, il reconnaît qu’il n’a pas d’autorisation de séjour au F______. Il ne dispose ainsi d’aucun droit d’y séjourner. Les documents produits en vue d’établir les démarches entreprises en vue d’obtenir un tel titre ne permettent pas de retenir non plus que l’octroi d’un titre de séjour en sa faveur serait imminent.</w:t>
      </w:r>
    </w:p>
    <w:p>
      <w:r>
        <w:t>Par ailleurs, rien n’empêche le recourant de rentrer dans son pays et d’y séjourner jusqu’à l’obtention de l’autorisation de séjour qu’il convoite au F______ pour y rejoindre son épouse et ses enfants lorsqu’ils y auront déménagé.</w:t>
      </w:r>
    </w:p>
    <w:p>
      <w:r>
        <w:t>Le recourant a encore réaffirmé dans son recours devant la chambre de céans qu’il n’entendait pas se conformer à son expulsion vers son pays d’origine. Vu son refus systématique de quitter la Suisse pour l’B______ ainsi que le fait qu’il a déjà disparu par le passé dans la clandestinité, il est à craindre qu’il se soustraira à nouveau à l’exécution de son renvoi vers l’B______.</w:t>
      </w:r>
    </w:p>
    <w:p>
      <w:r>
        <w:t>En outre, l’assurance de son départ effectif de Suisse répond à un intérêt public certain, notamment au vu de ses infractions à la LStup. S’agissant de son intérêt privé, notamment celui de pouvoir poursuivre sa relation avec son épouse et ses deux enfants, les moyens de communication modernes permettront à la famille de demeurer en contact étroit jusqu’à ce que le recourant dispose d’un titre de séjour valable au F______ où il entend s’établir. Son intérêt privé doit ainsi céder le pas à l’intérêt public à l’exécution de la décision d’expulsion.</w:t>
      </w:r>
    </w:p>
    <w:p>
      <w:r>
        <w:t>- 9/10 - A/2006/2022</w:t>
      </w:r>
    </w:p>
    <w:p>
      <w:r>
        <w:t>Les autorités suisses ont agi avec célérité, ce qui n’est d’ailleurs pas contesté. Par ailleurs, la durée de la mesure est compatible avec la limite posée par l’art. 79 LEI.</w:t>
      </w:r>
    </w:p>
    <w:p>
      <w:r>
        <w:t>Enfin, les retours volontaires vers l’B______ sont possibles, si la personne coopère. Or, le recourant s’oppose toujours à son renvoi. Ainsi, son manque de coopération pose un frein à l’exécution des décisions d’expulsion.</w:t>
      </w:r>
    </w:p>
    <w:p>
      <w:r>
        <w:t>Dans ces circonstances, aucune mesure moins incisive que la mise en détention administrative, notamment une assignation à résidence ou l’obligation de se présenter régulièrement à l’autorité, n’est à même de garantir la présence du recourant lors de l'exécution du renvoi. La détention est ainsi apte à atteindre le but voulu par le législateur, s’avère nécessaire, compte tenu de la difficulté prévisible de l’exécution du renvoi en raison du refus du recourant d’être renvoyé en B______.</w:t>
      </w:r>
    </w:p>
    <w:p>
      <w:r>
        <w:t>La détention administrative du recourant est ainsi conforme au droit et au principe de proportionnalité.</w:t>
      </w:r>
    </w:p>
    <w:p>
      <w:r>
        <w:t>Mal fondé, le recours sera rejeté. 6)</w:t>
      </w:r>
    </w:p>
    <w:p>
      <w:r>
        <w:t>La procédure étant gratuite, aucun émolument ne sera perçu.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