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ATA/735/2022 vom 14. Juli 2022</w:t>
      </w:r>
    </w:p>
    <w:p>
      <w:r>
        <w:t>GE Cour de justice, 2022-07-14, FR</w:t>
      </w:r>
    </w:p>
    <w:p>
      <w:r>
        <w:rPr>
          <w:b/>
        </w:rPr>
        <w:t xml:space="preserve">Quelle: </w:t>
      </w:r>
      <w:r>
        <w:t>https://mcp.opencaselaw.ch/entscheid/ge_gerichte_ATA_735_2022</w:t>
      </w:r>
    </w:p>
    <w:p>
      <w:r>
        <w:t>FR: GE_GERICHTE ATA/735/2022 du 14 juillet 2022</w:t>
      </w:r>
    </w:p>
    <w:p>
      <w:r>
        <w:t>IT: GE_GERICHTE ATA/735/2022 del 14 luglio 2022</w:t>
      </w:r>
    </w:p>
    <w:p>
      <w:pPr>
        <w:pStyle w:val="Heading2"/>
      </w:pPr>
      <w:r>
        <w:t>Erwägungen</w:t>
      </w:r>
    </w:p>
    <w:p>
      <w:r>
        <w:rPr>
          <w:b/>
        </w:rPr>
        <w:t>E. 12</w:t>
      </w:r>
    </w:p>
    <w:p>
      <w:r>
        <w:t>septembre 1985 - LPA - E 5 10). 2)</w:t>
      </w:r>
    </w:p>
    <w:p>
      <w:r>
        <w:t>Le recourant conclut préalablement à l’audition de ses codétenus.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t>b. En l’espèce, il ressort de la procédure que les codétenus du recourant ont été entendus dans le cadre de l’instruction préalable au prononcé de la sanction du</w:t>
      </w:r>
    </w:p>
    <w:p>
      <w:r>
        <w:rPr>
          <w:b/>
        </w:rPr>
        <w:t>E. 15</w:t>
      </w:r>
    </w:p>
    <w:p>
      <w:r>
        <w:t>janvier 2022. Le recourant ne prétend pas que leurs déclarations aient été faussement rapportées ni n’expose en quoi une nouvelle audition serait nécessaire.</w:t>
      </w:r>
    </w:p>
    <w:p>
      <w:r>
        <w:t>Il ne sera donc pas donné suite à l’acte d’instruction demandé. 3)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w:t>
      </w:r>
    </w:p>
    <w:p>
      <w:r>
        <w:t>- 5/9 - A/299/2022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w:t>
      </w:r>
    </w:p>
    <w:p>
      <w:r>
        <w:rPr>
          <w:b/>
        </w:rPr>
        <w:t>E. 19</w:t>
      </w:r>
    </w:p>
    <w:p>
      <w:r>
        <w:t>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e. Dans sa jurisprudence concernant le placement d'un prisonnier en cellule forte ou aux arrêts disciplinaires – applicable suivant les circonstances à d'autres sanctions disciplinaires –, compte tenu de la brièveté de la sanction, lorsque le recourant est encore en détention au moment du prononcé de la décision querellée, la chambre administrative fait en principe abstraction de l'exigence de l'intérêt actuel, faute de quoi un telle mesure échapperait systématiquement à son contrôle (ATA/135/2019 du 12 février 2019 consid. 3). 4)</w:t>
      </w:r>
    </w:p>
    <w:p>
      <w:r>
        <w:t>En l'espèce, le recourant a subi la sanction disciplinaire litigieuse à compter du 15 janvier 2022, pour une durée de trois jours. Il a quitté la prison B______ le 9 juin 2022. Il est toutefois depuis lors incarcéré dans l’établissement C______, l'exécution de sa peine étant amenée à durer plusieurs mois encore. Une situation identique pourrait donc se reproduire dans le futur dans le cadre de ses contacts avec les autres détenus et la sanction querellée pourrait être considérée comme un antécédent.</w:t>
      </w:r>
    </w:p>
    <w:p>
      <w:r>
        <w:t>Le recourant a donc un intérêt concret à ce que le litige soit tranché.</w:t>
      </w:r>
    </w:p>
    <w:p>
      <w:r>
        <w:t>Son recours est recevable. 5) a. Le droit disciplinaire est un ensemble de sanctions dont l'autorité dispose à l'égard d'une collectivité déterminée de personnes, soumises à un statut spécial ou qui, tenues par un régime particulier d'obligations, font l'objet d'une surveillance</w:t>
      </w:r>
    </w:p>
    <w:p>
      <w:r>
        <w:t>- 6/9 - A/299/2022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(art. 42 RRIP). Il doit en toutes circonstances adopter une attitude correcte à l'égard du personnel de la prison, des autres personnes incarcérées et des tiers (art. 44 RRIP).</w:t>
      </w:r>
    </w:p>
    <w:p>
      <w:r>
        <w:t>Il est interdit aux détenus, notamment, d’une façon générale, de troubler l’ordre et la tranquillité de l’établissement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À teneur de l'art. 47 al. 3 RRIP, le directeur ou, en son absence, son suppléant sont compétents pour prononcer la suppression de visite pour quinze jours au plus (let. a), la suppression des promenades collectives (let. b), la suppression des activités sportives (let. c), la suppression d’achat pour quinze jours au plus (let. d), la suppression de l’usage des moyens audiovisuels pour quinze jours au plus (let. e), la privation de travail (let. f), le placement en cellule forte pour dix jours au plus (let. g). Le directeur peut déléguer ces compétences à un membre du personnel gradé (ATA/1631/2017 du 19 décembre 2017 consid. 3).</w:t>
      </w:r>
    </w:p>
    <w:p>
      <w:r>
        <w:t>Le placement d'une personne détenue en cellule forte pour une durée supérieure à cinq jours est impérativement prononcé par le directeur ou, en son absence, par son suppléant ou un membre du conseil de direction chargé de la permanence (art. 47 al. 8 RRIP).</w:t>
      </w:r>
    </w:p>
    <w:p>
      <w:r>
        <w:t>d. De jurisprudence constante, la chambre de céans accorde généralement une pleine valeur probante aux constatations figurant dans un rapport de police, établi par des agents assermentés (ATA/502/2018 du 22 mai 2018 et les références citées), sauf si des éléments permettent de s'en écarter. Dès lors que les agents de détention sont également des fonctionnaires assermentés (art. 7 LOPP), le même raisonnement peut être appliqué aux rapports établis par ces derniers.</w:t>
      </w:r>
    </w:p>
    <w:p>
      <w:r>
        <w:t>- 7/9 - A/299/2022</w:t>
      </w:r>
    </w:p>
    <w:p>
      <w:r>
        <w:t>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t>f. En matière de sanctions disciplinaires, l'autorité dispose d'un large pouvoir d'appréciation ; le pouvoir d'examen de la chambre administrative se limite à l'excès ou l'abus du pouvoir d'appréciation (art. 61 al. 2 LPA ; ATA/1451/2017 du 31 octobre 2017 consid. 4c ; ATA/888/2015 du 1er septembre 2015 consid. 7b). 6) a. En l’espèce, les faits reprochés au recourant ressortent du rapport établi le 15 janvier 2022. Selon ce rapport, un appel avait été émis, par l’un de ses codétenus, en provenance la cellule qu’il occupait. À son arrivée, l’agent de détention avait entendu frapper fortement contre la porte et un codétenu lui avait dit à travers le portillon ouvert que le recourant et un autre codétenu venaient de se battre, en les désignant. Il ressortait de l’audition des protagonistes et de leurs codétenus que ceux-là se seraient battus pour une histoire de ménage. Seul le recourant a indiqué avoir été menacé par son adversaire au moyen d’un couteau. Il n’apparait pas que cet objet ait été retrouvé lors des fouilles effectuées et seul l’adversaire a présenté une plaie.</w:t>
      </w:r>
    </w:p>
    <w:p>
      <w:r>
        <w:t>Le recourant se borne à exposer avoir agi par légitime défense envers son codétenu qui le menaçait avec un couteau. Il n’explique cependant nullement en quoi le rapport d’incident serait erroné et ne soutient pas non plus qu’il n’y aurait pas eu de bagarre ni ne conteste qu’il ait causé une plaie à son codétenu. Dans ces circonstances, il n’y a pas lieu de s'écarter des constatations figurant dans le rapport susmentionné, établi au demeurant par un agent assermenté et qui a une pleine valeur probante.</w:t>
      </w:r>
    </w:p>
    <w:p>
      <w:r>
        <w:t>Le comportement consistant à s’en prendre physiquement à un codétenu est susceptible de troubler l'ordre, la sécurité et la tranquillité de l'établissement. De ce fait, le recourant a violé ses obligations de détenu, telles que figurant aux art. 42 ss RRIP, en particulier aux art. 44, 45 let. h et 46 RRIP. Il s'ensuit que l'autorité intimée était fondée à le sanctionner pour ces faits.</w:t>
      </w:r>
    </w:p>
    <w:p>
      <w:r>
        <w:t>b. S'il est vrai que le placement en cellule forte constitue la sanction la plus sévère mentionnée à l'art. 47 al. 3 RRIP, il n'en demeure pas moins que le recourant, en s’en prenant physiquement à un codétenu, a adopté un comportement nuisant au bon fonctionnement de la prison et susceptible de porter atteinte à l’intégrité physique d’un codétenu. L'autorité intimée était dès lors fondée à faire preuve de sévérité en lui infligeant, pour ces faits, une sanction de</w:t>
      </w:r>
    </w:p>
    <w:p>
      <w:r>
        <w:t>- 8/9 - A/299/2022 trois jours de cellule forte, étant au demeurant rappelé qu’il avait un antécédent disciplinaire et que le placement en cellule forte peut être prononcé pour dix jours au plus.</w:t>
      </w:r>
    </w:p>
    <w:p>
      <w:r>
        <w:t>c. Le recourant a été impliqué dans une bagarre dans la cellule qu’il partageait avec d’autres codétenus et au cours de laquelle il a causé une plaie au tibia de son adversaire. Au vu des locaux dans lesquels l’ensemble des détenus se trouvaient avec les risques que la situation s’aggrave encore et de l’atteinte physique portée à l’autre protagoniste, une sanction d'une certaine sévérité s'imposait. Dans ces conditions, bien que sévère, le choix d'une mise en cellule forte pendant trois jours respecte le principe de la proportionnalité, étant de surcroît rappelé que l'autorité intimée jouit d'un large pouvoir d'appréciation que la chambre de céans ne revoit qu'avec retenue.</w:t>
      </w:r>
    </w:p>
    <w:p>
      <w:r>
        <w:t>Pour le surplus, la présente procédure porte sur la sanction prononcée et non sur les conditions de détention en cellule forte du recourant, de sorte que ses doléances en lien avec ces points sont irrecevables.</w:t>
      </w:r>
    </w:p>
    <w:p>
      <w:r>
        <w:t>Compte tenu de l'ensemble de ces éléments, l'autorité intimée n'a ni abusé ni excédé son pouvoir d'appréciation, en prononçant le 15 janvier 2022 le placement du recourant en cellule forte pour trois jours.</w:t>
      </w:r>
    </w:p>
    <w:p>
      <w:r>
        <w:t>Le recours sera donc rejeté. 7)</w:t>
      </w:r>
    </w:p>
    <w:p>
      <w:r>
        <w:t>Au vu de la nature du litige et de son issue,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