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ATA/734/2010 vom 26. Oktober 2010</w:t>
      </w:r>
    </w:p>
    <w:p>
      <w:r>
        <w:t>GE Cour de justice, 2010-10-26, FR</w:t>
      </w:r>
    </w:p>
    <w:p>
      <w:r>
        <w:rPr>
          <w:b/>
        </w:rPr>
        <w:t xml:space="preserve">Quelle: </w:t>
      </w:r>
      <w:r>
        <w:t>https://mcp.opencaselaw.ch/entscheid/ge_gerichte_ATA_734_2010</w:t>
      </w:r>
    </w:p>
    <w:p>
      <w:r>
        <w:t>FR: GE_GERICHTE ATA/734/2010 du 26 octobre 2010</w:t>
      </w:r>
    </w:p>
    <w:p>
      <w:r>
        <w:t>IT: GE_GERICHTE ATA/734/2010 del 26 ottobre 2010</w:t>
      </w:r>
    </w:p>
    <w:p>
      <w:pPr>
        <w:pStyle w:val="Heading2"/>
      </w:pPr>
      <w:r>
        <w:t>Erwägungen</w:t>
      </w:r>
    </w:p>
    <w:p>
      <w:r>
        <w:rPr>
          <w:b/>
        </w:rPr>
        <w:t>E. 1</w:t>
      </w:r>
    </w:p>
    <w:p>
      <w:r>
        <w:t>Interjeté le lundi 18 octobre 2010 auprès de la juridiction compétente, le recours contre la décision du 7 octobre 2010 de la commission notifiée le même jour, est recevable (art. 56A al. 1 et 2 de la loi sur l’organisation judiciaire du 22 novembre 1941 - LOJ - E 2 05 ; art. 10 al. 1 de la loi d'application de la loi fédérale sur les étrangers du 16 juin 1988 - LaLEtr - F 2 10) ; art. 63 al. 1 let. a LPA).</w:t>
      </w:r>
    </w:p>
    <w:p>
      <w:r>
        <w:rPr>
          <w:b/>
        </w:rPr>
        <w:t>E. 2</w:t>
      </w:r>
    </w:p>
    <w:p>
      <w:r>
        <w:t>Selon l’art. 10 al. 2 LaLEtr, le Tribunal administratif doit juger dans les dix jours qui suivent sa saisine. Statuant ce jour, il respecte ce délai.</w:t>
      </w:r>
    </w:p>
    <w:p>
      <w:r>
        <w:rPr>
          <w:b/>
        </w:rPr>
        <w:t>E. 3</w:t>
      </w:r>
    </w:p>
    <w:p>
      <w:r>
        <w:t>La juridiction de céans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2C.128/2009, consid. 3.1).</w:t>
      </w:r>
    </w:p>
    <w:p>
      <w:r>
        <w:t>b. Un risque de fuite existe lorsque l’étranger a déjà disparu une première fois dans la clandestinité, qu’il tente d’entraver les démarches en vue de l’exécution du</w:t>
      </w:r>
    </w:p>
    <w:p>
      <w:r>
        <w:t>- 5/7 - A/3399/2010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En l'espèce, le recourant ne conteste pas que les conditions susmentionnées soient réalisées. Il prétend uniquement que le maintien en détention serait incompatible avec son état de santé et reproche à la commission de ne pas avoir établi les faits à ce sujet.</w:t>
      </w:r>
    </w:p>
    <w:p>
      <w:r>
        <w:rPr>
          <w:b/>
        </w:rPr>
        <w:t>E. 5</w:t>
      </w:r>
    </w:p>
    <w:p>
      <w:r>
        <w:t>Selon l'art. 80 al 4 LEtr, l'autorité judiciaire qui examine la décision tient compte de la situation familiale de la personne détenue et des conditions d’exécution de la détention.</w:t>
      </w:r>
    </w:p>
    <w:p>
      <w:r>
        <w:t>En l'espèce, le recourant se contente d'alléguer de manière générale, sans référence précise de temps ni de lieu, des éléments relatifs à son état de santé - problèmes sanguins, rénaux et de locomotion - et à l'incompatibilité de celui-ci avec la détention administrative. Il ne fournit aucun document pour étayer ses affirmations. Or, il vient de subir une détention pénale de 70 jours à Genève, où il avait déjà exécuté 4 mois de peine privative de liberté une année auparavant, sans que le dossier fasse apparaître le moindre problème de santé lié à l'exécution de ces peines, ni une quelconque prise en charge par le service médical de la prison. Le recourant n'a pas fait allusion au déroulement de ces emprisonnements et n'a pas prétendu avoir fait l'objet de soins médicaux durant ses séjours carcéraux, ni être en possession de certificats médicaux établis en ces occasions. Il n'a pas davantage offert de prouver ses dires d'une quelconque manière devant le tribunal de céans, ni produit de pièces. Force est donc de constater que les faits pertinents ont été correctement établis. Le grief du recourant doit être écarté.</w:t>
      </w:r>
    </w:p>
    <w:p>
      <w:r>
        <w:rPr>
          <w:b/>
        </w:rPr>
        <w:t>E. 6</w:t>
      </w:r>
    </w:p>
    <w:p>
      <w:r>
        <w:t>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w:t>
      </w:r>
    </w:p>
    <w:p>
      <w:r>
        <w:t>Dans la présente cause, les autorités compétentes ont agi avec diligence, puisque l'exécution du renvoi devrait intervenir prochainement. Le recourant se refusant à collaborer, aucune autre mesure moins incisive que la détention administrative n’est adéquate pour permettre d’assurer l’exécution du renvoi.</w:t>
      </w:r>
    </w:p>
    <w:p>
      <w:r>
        <w:t>- 6/7 - A/3399/2010 Enfin, au vu de l'ensemble des circonstances, la durée de ladite détention, fixée à un mois, respecte manifestement le principe de proportionnalité.</w:t>
      </w:r>
    </w:p>
    <w:p>
      <w:r>
        <w:rPr>
          <w:b/>
        </w:rPr>
        <w:t>E. 7</w:t>
      </w:r>
    </w:p>
    <w:p>
      <w:r>
        <w:t>Le recours sera rejeté. Aucun émolument ne sera perçu, la procédure étant gratuite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