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ATA/733/2015 vom 14. Juli 2015</w:t>
      </w:r>
    </w:p>
    <w:p>
      <w:r>
        <w:t>GE Cour de justice, 2015-07-14, FR</w:t>
      </w:r>
    </w:p>
    <w:p>
      <w:r>
        <w:rPr>
          <w:b/>
        </w:rPr>
        <w:t xml:space="preserve">Quelle: </w:t>
      </w:r>
      <w:r>
        <w:t>https://mcp.opencaselaw.ch/entscheid/ge_gerichte_ATA_733_2015</w:t>
      </w:r>
    </w:p>
    <w:p>
      <w:r>
        <w:t>FR: GE_GERICHTE ATA/733/2015 du 14 juillet 2015</w:t>
      </w:r>
    </w:p>
    <w:p>
      <w:r>
        <w:t>IT: GE_GERICHTE ATA/733/2015 del 14 luglio 2015</w:t>
      </w:r>
    </w:p>
    <w:p>
      <w:pPr>
        <w:pStyle w:val="Heading2"/>
      </w:pPr>
      <w:r>
        <w:t>Regeste</w:t>
      </w:r>
    </w:p>
    <w:p>
      <w:r>
        <w:t>Résumé: Conformément à une interprétation historique de l'art. 11 al. 2 let. c LBPE dans sa teneur antérieure à une rectification législative récente, seules les études menant au premier master peuvent donner droit à un prêt d'études. Des informations figurant sur le site internet de l'État indiquant que les études menant au master peuvent donner droit à un tel prêt ne sont pas de nature à conférer des droits protégés par le principe de la confiance. La recourante est titulaire d'une licence universitaire qui doit être assimilée à un premier master. Ses nouvelles études doivent être qualifiées d'études menant à un second master, lesquelles ne donnent pas droit à un prêt d'études sur la base de l'art. 11 al. 2 let. c LBPE. Recours rejeté.</w:t>
      </w:r>
    </w:p>
    <w:p>
      <w:pPr>
        <w:pStyle w:val="Heading2"/>
      </w:pPr>
      <w:r>
        <w:t>Erwägungen</w:t>
      </w:r>
    </w:p>
    <w:p>
      <w:r>
        <w:rPr>
          <w:b/>
        </w:rPr>
        <w:t>E. 12</w:t>
      </w:r>
    </w:p>
    <w:p>
      <w:r>
        <w:t>septembre 1985 - LPA - E 5 10). 2)</w:t>
      </w:r>
    </w:p>
    <w:p>
      <w:r>
        <w:t>La recourante invoque une violation du principe de la non-rétroactivité du droit. L'office aurait appliqué à tort l'art. 11 al. 2 let. c LBPE dans sa teneur modifiée au 23 janvier 2015, date postérieure au dépôt de sa demande. 3)</w:t>
      </w:r>
    </w:p>
    <w:p>
      <w:r>
        <w:t>Lorsque le droit applicable change en cours d'instance, c'est-à-dire au moment où une procédure administrative est déjà pendante, la question se pose de déterminer quelle est la loi à appliquer aux faits de la cause. Cette question est parfois expressément tranchée par la loi qui entre en vigueur. Celle-ci contient alors des règles de droit transitoire qui précisent les modalités de son application dans le temps. Faute de telles règles de droit transitoire, selon la jurisprudence, l'autorité de première instance doit fonder sa décision sur le nouveau droit lorsqu'un changement de droit intervient en cours de procédure administrative, c'est-à-dire après son ouverture d'office ou sur requête, mais avant le prononcé d'une décision. Cela étant, il est interdit à l'autorité de ralentir artificiellement l'instruction de la procédure en cause afin de repousser le moment du prononcé de sa décision à une date postérieure à l'entrée en vigueur attendue du nouveau droit ; un tel comportement est contraire au principe de la bonne foi (Jacques DUBEY/Jean-Baptiste ZUFFEREY, Droit administratif général, 2014, n. 362- 365). 4)</w:t>
      </w:r>
    </w:p>
    <w:p>
      <w:r>
        <w:t>En l'espèce, selon l'art. 33 al. 3 LBPE, les demandes et les recours en suspens sont traités conformément au nouveau droit, sauf si l'ancien droit est plus favorable. Cependant, la question se pose de savoir si cette disposition s'applique uniquement aux procédures introduites antérieurement à l'entrée en vigueur de la LBPE le 1er juin 2012, ou également aux procédures ultérieures en cas de modification partielle de cette loi. Compte tenu de ce qui suit, cette question peut être laissée ouverte. 5)</w:t>
      </w:r>
    </w:p>
    <w:p>
      <w:r>
        <w:t>Le recourante invoque une violation de l'art 11 al. 2 let. c LBPE dans sa teneur au moment du dépôt de sa demande. En vertu de cette disposition, les études menant à son deuxième master lui donneraient droit à un prêt. 6)</w:t>
      </w:r>
    </w:p>
    <w:p>
      <w:r>
        <w:t>Selon l'art 11 al. 2 LBPE dans sa teneur à la date du dépôt de la demande de la recourante, soit le 21 juillet 2014, peuvent donner droit à des prêts : a) la deuxième formation initiale de niveau secondaire II ; b) les deuxièmes formations de niveau HES et universitaire aboutissant à un bachelor ; c) les études menant au master ; d) les études pour lesquelles les frais de formation dépassent largement</w:t>
      </w:r>
    </w:p>
    <w:p>
      <w:r>
        <w:t>- 6/10 - A/1102/2015 les frais reconnus ; e) les formations de niveau secondaire II ou tertiaire lorsque la personne en formation n'a pas droit à une bourse. 7)</w:t>
      </w:r>
    </w:p>
    <w:p>
      <w:r>
        <w:t>Ensemble, les études de bachelor et de master remplacent les anciennes études de diplôme ou de licence. En ce qui concerne la durée du financement des études et des aides à la formation, de même que les taxes de cours, les études de bachelor et de master constituent ainsi les deux phases d’une seule filière d’études (art. 1 al. 2 des Directives pour le renouvellement coordonné de l’enseignement des hautes écoles universitaires suisses dans le cadre du processus de Bologne (Directives de Bologne) du 4 décembre 2003, état au 1er août 2008). Les licences et les diplômes sont équivalents à un diplôme de master. L’équivalence sera certifiée sur demande par l’université qui a délivré la licence ou le diplôme (art. 6a al. 1 Directives de Bologne).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 445 consid. 5.1 p. 451;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w:t>
      </w:r>
    </w:p>
    <w:p>
      <w:r>
        <w:t>- 7/10 - A/1102/2015 9)</w:t>
      </w:r>
    </w:p>
    <w:p>
      <w:r>
        <w:t>En l'espèce, l'interprétation de l'art 11 al. 2 let. c LBPE dans sa teneur au 21 juillet 2014, tel qu'il ressort en particulier des travaux préparatoires de la loi, ne permet pas de conclure que des études menant à un deuxième master peuvent donner droit à un prêt. Tel en a décidé la chambre de céans dans un arrêt du</w:t>
      </w:r>
    </w:p>
    <w:p>
      <w:r>
        <w:rPr>
          <w:b/>
        </w:rPr>
        <w:t>E. 15</w:t>
      </w:r>
    </w:p>
    <w:p>
      <w:r>
        <w:t>avril 2014, soit avant la rectification du 23 janvier 2015 précisant que seules les études menant au premier master pouvaient donner droit à un prêt. Dans cet arrêt, la chambre administrative a considéré que « s'agissant d'éventuelles questions de droit transitoire, dans la mesure notamment où le second bachelor peut bénéficier d'un prêt en application de l'art. 11 al. 2 let. b LBPE, alors que, dans sa version ancienne, la lettre c ne mentionnait qu'une seule maîtrise, l'ajout du terme « première » à la maîtrise selon le PL 11166-A apparaît constituer une simple précision et non une restriction supplémentaire (cf. aussi, dans ce sens, explications de M. EVÉQUOZ, directeur général de l'office d'orientation professionnelle et continue, in rapport de la Commission des affaires sociales chargée d'étudier le projet de loi de Mmes et MM. Anne EMERY- TORRACINTA, Marion SOBANEK, Prunella CARRARD, Roger DENEYS, Marie Salima MOYARD, Irène BUCHE, Christian DANDRÈS, Melik ÖZDEN modifiant la loi sur les bourses et prêts d’études [LBPE] [C 1 20], p. 15 s.) » (ATA/266/2014 du 15 avril 2014 consid. 6d).</w:t>
      </w:r>
    </w:p>
    <w:p>
      <w:r>
        <w:t>Par conséquent, la recourante étant déjà titulaire d'une licence qui doit être assimilée à un premier master, elle ne peut se fonder sur l'art. 11 al. 2 let. c LBPE dans sa teneur au jour du dépôt de sa demande pour se voir octroyer un prêt finançant un deuxième master. Ce grief sera rejeté. 10) La recourante invoque que le service lui a refusé l'aide demandée en violation du principe de la bonne foi. 11) Le principe de la bonne foi entre administration et administré, exprimé aux art. 9 et 5 al. 3 de la Constitution fédérale de la Confédération suisse du</w:t>
      </w:r>
    </w:p>
    <w:p>
      <w:r>
        <w:rPr>
          <w:b/>
        </w:rPr>
        <w:t>E. 18</w:t>
      </w:r>
    </w:p>
    <w:p>
      <w:r>
        <w:t>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 ci soit aisément reconnaissable et qu’il puisse être réparé à temps, le cas échéant dans un bref délai (ATF 125 I 166 consid. 3a p. 170 ; 124 II 265 consid. 4a</w:t>
      </w:r>
    </w:p>
    <w:p>
      <w:r>
        <w:t>- 8/10 - A/1102/2015 p. 269/270 et les arrêts cités ; arrêts du Tribunal fédéral 1C_39/2013 du 11 mars 2013 consid. 2.1 et 2.3 ; 2C_165/2012 du 29 mai 2012 consid. 5.1). 12)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3ème éd. p. 922 ss, n. 6.4.1.2 et 6.4.2.1 ; Thierry TANQUEREL, Manuel de droit administratif, 2011, p. 196 s, n. 578 s ; Georg MULLER/Ulrich HÄFELIN/Félix UHLMANN, Allgemeines Verwaltungsrecht, 2010, 6ème éd., p. 140 ss et p. 157 n. 696 ; Andreas AUER/Giorgio MALINVERNI/Michel HOTTELIER, Droit constitutionnel suisse, Berne 2006, Vol. 2, 2ème éd., p. 546, n. 1165ss). 13) En l’espèce, le service n’avait aucun motif d’informer la recourante que sa demande était dépourvue de fondement avant le prononcé de sa décision. En effet, cette dernière avait précisément pour objet de se prononcer sur cette question. Par ailleurs, le temps écoulé entre la date du dépôt de la demande et la notification de la décision entreprise, soit moins de sept mois, n'apparaît ni excessif ni dilatoire. Enfin, l'office n’a à aucun moment donné une quelconque assurance à la recourante qui lui aurait conféré des droits. La reproduction d'extraits d'une loi sur le site internet de l'État ne constitue en aucun cas une telle assurance.</w:t>
      </w:r>
    </w:p>
    <w:p>
      <w:r>
        <w:t>Par conséquent, l'office n'a pas violé le principe de la bonne foi en refusant l'aide demandée. Le grief de la recourante sera rejeté. 14) Mal fondé, le recours sera donc rejeté. Un émolument de CHF 400.- sera mis à la charge de la recourante qui succombe et aucune indemnité de procédure ne lui sera allouée (art. 87 LPA).</w:t>
      </w:r>
    </w:p>
    <w:p>
      <w:r>
        <w:t>* * * * *</w:t>
      </w:r>
    </w:p>
    <w:p>
      <w:r>
        <w:t>- 9/10 - A/1102/2015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