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ATA/732/2012 vom 30. Oktober 2012</w:t>
      </w:r>
    </w:p>
    <w:p>
      <w:r>
        <w:t>GE Cour de justice, 2012-10-30, FR</w:t>
      </w:r>
    </w:p>
    <w:p>
      <w:r>
        <w:rPr>
          <w:b/>
        </w:rPr>
        <w:t xml:space="preserve">Quelle: </w:t>
      </w:r>
      <w:r>
        <w:t>https://mcp.opencaselaw.ch/entscheid/ge_gerichte_ATA_732_2012</w:t>
      </w:r>
    </w:p>
    <w:p>
      <w:r>
        <w:t>FR: GE_GERICHTE ATA/732/2012 du 30 octobre 2012</w:t>
      </w:r>
    </w:p>
    <w:p>
      <w:r>
        <w:t>IT: GE_GERICHTE ATA/732/2012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w:t>
      </w:r>
    </w:p>
    <w:p>
      <w:r>
        <w:t>- 4/6 - A/1864/2012 2009 consid. 2 ; ATA/195/2007 du 24 avril 2007 consid. 3 et 4 ; ATA/175/2007 du 17 avril 2007 consid. 2a ; ATA/915/2004 du 23 novembre 2004 consid. 2b).</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w:t>
      </w:r>
    </w:p>
    <w:p>
      <w:r>
        <w:t>En l'espèce, le Scom a bien indiqué ne pas persister dans la décision querellée. Il ne l'a toutefois formellement ni retirée ni remplacée, de sorte qu'elle déploie toujours ses effets. Le recourant conserve dès lors un intérêt actuel à ce que la cause soit tranchée.</w:t>
      </w:r>
    </w:p>
    <w:p>
      <w:r>
        <w:rPr>
          <w:b/>
        </w:rPr>
        <w:t>E. 3</w:t>
      </w:r>
    </w:p>
    <w:p>
      <w:r>
        <w:t>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taxe ne peut se fonder que sur l'art. 21 al. 6 LTaxis, qui fixe son montant à CHF 40'000.-.</w:t>
      </w:r>
    </w:p>
    <w:p>
      <w:r>
        <w:rPr>
          <w:b/>
        </w:rPr>
        <w:t>E. 5</w:t>
      </w:r>
    </w:p>
    <w:p>
      <w:r>
        <w:t>Dans l'ATA/379/2012,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(ATA/379/2012 déjà cité).</w:t>
      </w:r>
    </w:p>
    <w:p>
      <w:r>
        <w:t>- 5/6 - A/1864/2012</w:t>
      </w:r>
    </w:p>
    <w:p>
      <w:r>
        <w:t>Tel est le cas en l'espèce, le Scom ayant encaissé un montant de CHF 82'500.-, dont seule la perception de CHF 40'000.- était légalement justifiée. Le solde de CHF 42'500.- doit ainsi être restitué, avec intérêt à 5 % dès le 7 avril 2011. Le Scom y sera condamné en tant que de besoin.</w:t>
      </w:r>
    </w:p>
    <w:p>
      <w:r>
        <w:rPr>
          <w:b/>
        </w:rPr>
        <w:t>E. 6</w:t>
      </w:r>
    </w:p>
    <w:p>
      <w:r>
        <w:t>Au vu de ce qui précède, le recours doit être admis et la décision du Scom annulée. Malgré l’issue du litige, aucun émolument ne sera mis à la charge du Scom (art. 87 al. 1 LPA). Une indemnité de procédure de CHF 1'000.-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