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ATA/731/2023 vom 4. Juli 2023</w:t>
      </w:r>
    </w:p>
    <w:p>
      <w:r>
        <w:t>GE Cour de justice, 2023-07-04, FR</w:t>
      </w:r>
    </w:p>
    <w:p>
      <w:r>
        <w:rPr>
          <w:b/>
        </w:rPr>
        <w:t xml:space="preserve">Quelle: </w:t>
      </w:r>
      <w:r>
        <w:t>https://mcp.opencaselaw.ch/entscheid/ge_gerichte_ATA_731_2023</w:t>
      </w:r>
    </w:p>
    <w:p>
      <w:r>
        <w:t>FR: GE_GERICHTE ATA/731/2023 du 4 juillet 2023</w:t>
      </w:r>
    </w:p>
    <w:p>
      <w:r>
        <w:t>IT: GE_GERICHTE ATA/731/2023 del 4 luglio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 art. 7 al. 2 de la loi de procédure fiscale du 4 octobre 2001 (LPFisc - D 3 17); art. 145 de la loi fédérale sur l’impôt fédéral direct du 14 décembre 1990 (LIFD - RS 642.11)). 2. Se pose en premier lieu la question du droit applicable. 2.1 De jurisprudence constante, les questions de droit matériel sont résolues en fonction du droit au vigueur lors des périodes fiscales litigieuses (ATA/1727/2019 du 26 novembre 2019 consid. 3a). 2.2 En l'espèce, le litige porte sur l'ICC et l’IFD 2010 à 2018 de la recourante. La cause est ainsi régie par le droit en vigueur durant ces périodes, à savoir, s'agissant de l'IFD, par les dispositions de la LIFD et, pour ce qui est de l'ICC, par celles de la loi sur l'imposition des personnes morales du 23 septembre 1994 (LIPM - D 3 15). La question à trancher dans le cadre du recours étant traitée de la même manière en droit fédéral et en droit cantonal harmonisé, le présent arrêt traite simultanément des deux impôts, comme l'admet la jurisprudence (ATF 135 II 260 ; ATA/463/2020 du 7 mai 2020 consid. 6b). 3. Il convient de préciser, à titre liminaire, que le droit de procéder au rappel d’impôt n’est pas prescrit (art. 152 al. 1 et 3 LIFD ; art. 53 al. 2 et 3 LHID ; art. 61 al. 1 et 3 LPFisc), pas plus que la poursuite pénale de l’infraction de soustraction d’impôt consommée, et ce tant en application de l’ancien (art. 184 al. 1 let. b et al. 2 aLIFD, art. 58 al. 2 aLHID et art. 81 LPFisc, dans leur teneur avant le 1er janvier 2017) que du nouveau droit (art. 184 al. 1 let. b ch. 1 et al. 2 LIFD, art. 58 al. 2 let. a et al. 3 LHID et art. 77 al. 1 let. b et al. 2 LPFisc, dans leur teneur depuis le 1er janvier 2017). 4.</w:t>
      </w:r>
    </w:p>
    <w:p>
      <w:r>
        <w:t>4.1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LHID ; art. 59 al. 1 LPFisc).</w:t>
      </w:r>
    </w:p>
    <w:p>
      <w:r>
        <w:t>- 9/16 - A/1634/2022 4.2 En l’espèce, la recourante ne remet pas en cause les conditions de l’ouverture d’une procédure en rappel d’impôt. Elle ne conteste en particulier pas que les rubriques mentionnées dans les comptes annexés à ses déclarations fiscales 2010 à 2013 étaient rédigées de manière large, de sorte qu’il n’était pas possible de déterminer qu’elle avait pris du matériel en location à son actionnaire principal. La connaissance du contrat de bail du 1er février 2008 constituait dès lors un fait nouveau, ce que la recourante ne conteste pas. Seules sont donc litigieuses les reprises effectuées par l’autorité intimée pour les années fiscales 2010 à 2018 pour l’ICC et l’IFD à titre de distribution dissimulée de bénéfice.</w:t>
      </w:r>
    </w:p>
    <w:p>
      <w:r>
        <w:rPr>
          <w:b/>
        </w:rPr>
        <w:t>E. 5</w:t>
      </w:r>
    </w:p>
    <w:p>
      <w:r>
        <w:t>Devant la chambre de céans, la recourante conteste avoir accordé une prestation appréciable en argent à son actionnaire, faisant valoir que le matériel et le mobilier auraient pu être loués à un tiers dans les mêmes conditions.</w:t>
      </w:r>
    </w:p>
    <w:p>
      <w:r>
        <w:rPr>
          <w:b/>
        </w:rPr>
        <w:t>E. 5.1</w:t>
      </w:r>
    </w:p>
    <w:p>
      <w:r>
        <w:t>Aux termes de l’art. 57 LIFD, l’impôt sur le bénéfice a pour objet le bénéfice net. Selon l’art. 58 al. 1 LIFD,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et les avantages procurés à des tiers qui ne sont pas justifiés par l’usage commercial (let. b 5ème tiret). Selon l’art. 24 al. 1 let. a LHID, l’impôt sur le bénéfice a pour objet l’ensemble du bénéfice net, y compris les charges non justifiées par l’usage commercial, portées au débit du compte de résultats. Cette règle est concrétisée en droit genevois par l’art. 12 let. a et h LIPM dans sa teneur en vigueur en 2008 et qui correspond sur ce point à l’art. 58 al. 1 let. a et b LIFD.</w:t>
      </w:r>
    </w:p>
    <w:p>
      <w:r>
        <w:rPr>
          <w:b/>
        </w:rPr>
        <w:t>E. 5.2</w:t>
      </w:r>
    </w:p>
    <w:p>
      <w:r>
        <w:t>Selon la jurisprudence, il y a distribution dissimulée de bénéfice constitutive de prestation appréciable en argent lorsque les quatre conditions cumulatives suivantes sont remplies ; la société fait une prestation sans obtenir de contre- prestation correspondante ; cette prestation est accordée à un actionnaire ou à une personne le ou la touchant de près ; elle n’aurait pas été accordée dans de telles conditions à un tiers ; la disproportion entre la prestation et la contre-prestation est manifeste, de telle sorte que les organes de la société auraient pu se rendre compte de l’avantage qu’ils accordaient (ATF 140 II 88 consid. 4.1 ; arrêt du Tribunal fédéral 2C_1006/2020 du 20 octobre 2021 consid. 5). Il convient ainsi d’examiner si la prestation aurait été accordée dans la même mesure à un tiers étranger à la société, soit si la transaction a respecté le principe de pleine concurrence (« dealing at arm’s length » ; ATF 140 II 88 consid. 4.1). Le droit fiscal suisse ne connaissant pas, sauf disposition légale expresse, de régime spécial pour les groupes de sociétés, les opérations entre sociétés d’un même groupe doivent également intervenir comme si elles étaient effectuées avec</w:t>
      </w:r>
    </w:p>
    <w:p>
      <w:r>
        <w:t>- 10/16 - A/1634/2022 des tiers dans un environnement de libre concurrence. En conséquence, il n’est pas pertinent que la disproportion d’une prestation soit justifiée par l’intérêt du groupe (ATF 140 II 88 consid. 4.1 ; arrêt du Tribunal fédéral 2C_181/2020 du 10 août 2020 consid. 5.2). Une prestation appréciable en argent peut prendre la forme d’une renonciation à un produit, qui conduit à une diminution correspondante du résultat chez la société. Tel est par exemple le cas lorsqu’une société renonce totalement ou en partie à un revenu qui lui revient en faveur d’un détenteur de part ou d’un proche, ou qu’elle n’obtient pas, pour la prestation qu’elle a effectuée, la contre-prestation qu’elle aurait exigée d’un tiers (ATF 138 II 57 consid. 2.2 ; arrêt du Tribunal fédéral 2C_377/2014 du 26 mai 2015 consid. 9.4.1 ; ATA/533/2021 du 18 mai 2021 consid. 5b).</w:t>
      </w:r>
    </w:p>
    <w:p>
      <w:r>
        <w:rPr>
          <w:b/>
        </w:rPr>
        <w:t>E. 5.3</w:t>
      </w:r>
    </w:p>
    <w:p>
      <w:r>
        <w:t>La mise en œuvre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(ATF 140 II 88 consid. 4.2 et les références citées). S’il n’existe pas de marché libre permettant une comparaison effective, il convient alors de procéder selon la méthode de la comparaison avec une transaction comparable (ou méthode du prix comparable), qui consiste à procéder à une comparaison avec le prix appliqué entre tiers dans une transaction présentant les mêmes caractéristiques, soit en tenant compte de l’ensemble des circonstances déterminantes (ATF 140 II 88 consid. 4.2 ; 138 II 57 consid. 2.2 ; arrêt du Tribunal fédéral 2C_49/2018 du 23 avril 2019 consid. 4.2.2). Dans un arrêt 2C_333/2017 du 12 avril 2018, le Tribunal fédéral a confirmé la position de l’AFC-GE selon laquelle le prix des biens – loués pour la totalité de leur vie économique – se rapprochait d’un leasing, qui calculait des marges tenant précisément compte d’une location couvrant toute la vie économique du bien. Le leasing pouvait aussi être un leasing de pure location (sans option d’achat). En outre, il intégrait un montant pour le remplacement du bien loué, voire son acquisition. Les taux d’intérêt retenus pour le leasing étaient basés sur ceux définis dans les circulaires pour les crédits commerciaux consentis aux actionnaires à leur société et étaient calculés sur la valeur résiduelle des biens à la fin de l’année (consid. 6.2).</w:t>
      </w:r>
    </w:p>
    <w:p>
      <w:r>
        <w:rPr>
          <w:b/>
        </w:rPr>
        <w:t>E. 5.4</w:t>
      </w:r>
    </w:p>
    <w:p>
      <w:r>
        <w:t>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w:t>
      </w:r>
    </w:p>
    <w:p>
      <w:r>
        <w:t>- 11/16 - A/1634/2022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ATA/1105/2021 du 19 octobre 2021 consid. 5a). Par ailleurs, en droit fiscal, le principe de la libre appréciation des preuves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(ATA/1105/2021 précité consid. 5a). Dans le domaine des prestations appréciables en argent, telles que des distributions dissimulées de bénéfice, le fardeau de la preuve se répartit comme suit : les autorités fiscales doivent apporter la preuve que la société a fourni une prestation et qu’elle n’a pas obtenu de contre-prestation ou une contre-prestation insuffisante ; si les preuves recueillies par l’autorité fiscale fournissent suffisamment d’indices révélant l’existence d’une telle disproportion, il appartient alors au contribuable d’établir l’exactitude de ses allégations contraires (arrêt du Tribunal fédéral 2C_343/2019 du 27 septembre 2019 consid. 5.2 et les références citées), étant précisé que, selon la jurisprudence, le devoir de collaboration du contribuable est particulièrement qualifié dans les relations internationales (arrêt du Tribunal fédéral 2C_1073/2018 du 20 décembre 2019 consid. 11.4 et les références citées). Ainsi, lorsqu’une disproportion est avérée, on peut fiscalement présumer de l’existence d’une prestation appréciable en argent en faveur du détenteur de parts ou de l’un de ses proches et il appartient alors au contribuable d’établir l’exactitude de ses allégations contraires. S’il n’y parvient pas, il doit supporter les conséquences de l’absence de preuve, qui consistent en l’imposition (ATF 144 II 427 consid. 8.3.1).</w:t>
      </w:r>
    </w:p>
    <w:p>
      <w:r>
        <w:rPr>
          <w:b/>
        </w:rPr>
        <w:t>E. 5.5</w:t>
      </w:r>
    </w:p>
    <w:p>
      <w:r>
        <w:t>En l’espèce, il n’est pas contesté que la recourante a loué du mobilier et du matériel à son actionnaire pour un montant de CHF 7'500.- par mois. Questionnée</w:t>
      </w:r>
    </w:p>
    <w:p>
      <w:r>
        <w:t>- 12/16 - A/1634/2022 par l’intimée, la société a expliqué que le loyer avait été fixé en partant du principe que si elle avait dû acquérir ces biens neufs, elle aurait été contrainte de débourser la somme de CHF 450'000.-. Sur la base de ces explications, l’AFC- GE, suivi en cela par le TAPI, a considéré qu’il y avait eu une prestation appréciable en argent. Il résultait en effet du bilan de l’entreprise individuelle de l’actionnaire au 31 décembre 2007 que la valeur d’acquisition des actifs mobilisés s’élevait à CHF 245'443.07. Ce montant devait être ramené à CHF 75'552.72, si l’on tenait compte des amortissements de CHF 169'890.35, comptabilisés dans le fonds d’amortissement. Or, la recourante n’avait fourni aucune explication, ni produit de pièce justificative, quant à la raison pour laquelle elle estimait que le prix d’acquisition des biens s’élevait à CHF 450'000.- alors que ce coût avait été enregistré pour CHF 245'000.- dans la comptabilité de l’entreprise individuelle de l’actionnaire. Pour la période du 1er février 2008 au 31 décembre 2018, la recourante avait versé un loyer total de CHF 982'500.-. Le prix pratiqué pour la location du mobilier et du matériel appartenant à l’actionnaire était ainsi manifestement excessif. Il s’ensuivait que la société n’aurait jamais versé un tel loyer à un tiers indépendant. La recourante ne conteste pas avoir calculé le montant de la location sur la base d’une valeur totale des biens de CHF 450'000.-, alors que le bilan de l’entreprise individuelle de son actionnaire pour l’année 2007 retenait, pour ces biens, une valeur de CHF 75'552.72, amortissements déduits. Elle reproche toutefois à l’autorité intimée d’avoir recouru à la méthode du leasing développée par le Tribunal fédéral dans l’arrêt 2C_333/2017, estimant que cette jurisprudence ne s’appliquait pas à sa situation, les périodes fiscales litigieuses étant antérieures au prononcé de l’arrêt. L’arrêt précité porte sur la méthode à appliquer afin de déterminer de façon objective et concrète le montant de la location de véhicules qui aurait été convenu entre personnes indépendantes, c’est-à-dire en fonction du principe de pleine concurrence. Il s’agissait donc d’interpréter le droit fédéral, en particulier l’art. 58 LIFD, afin de déterminer si la méthode choisie par les autorités fiscales respectait le principe de la pleine concurrence. Dans la mesure où la présente espèce porte sur l’application des mêmes dispositions, l’interprétation qui en a été faite par le Tribunal fédéral trouve application. Le fait qu’il s’agit d’une procédure de rappel d’impôt pour l’IFD et les ICC des années 2010 à 2018 n’y change rien. L’arrêt 2C_333/2017 portait d’ailleurs également sur une procédure de rappel d’impôts pour l’IFD et les ICC des années 2002 à 2010. Quant à savoir si la méthode choisie par l’autorité intimée respecte le principe de pleine concurrence, il y a lieu de relever ce qui suit. À l’instar de la situation prévalant dans l’arrêt précité, les biens étaient loués pour la totalité de leur vie économique. Le prix tel qu’il devrait être pris en compte se rapproche ainsi d’un leasing qui calcule les marges tenant compte d’une location couvrant toute la vie</w:t>
      </w:r>
    </w:p>
    <w:p>
      <w:r>
        <w:t>- 13/16 - A/1634/2022 économique du bien. Dans le cadre d’un leasing, les redevances sont calculées de manière à couvrir et rentabiliser le coût d’acquisition du bailleur compte tenu de la période de location convenue. En règle générale, à l’expiration du contrat, le bien n’a plus ou que peu de valeur marchande. Dans le cas d’espèce, le modèle du leasing apparaît comme celui dont les tarifs sont les plus adéquats pour déterminer les reprises à effectuer compte tenu de la façon dont a procédé la société. On ne saurait donc faire grief à l’autorité précédente d’avoir choisi cette méthode de calcul. Dans ses écritures, la recourante se plaint de ce que la vie économique de ses biens ait été réduite à une durée de 60 mois. Elle perd cependant de vue que le loyer mensuel facturé par son actionnaire tenait précisément compte d’une durée de vie de cinq ans. Elle a en effet expliqué, dans son courrier du 28 août 2020, que le loyer avait été déterminé sur la base d’une valeur à neuf de CHF 450'000.- et d’une durée de 60 mois (CHF 450'000.- / 60 = CHF 7'500.- par mois). S’ajoute à cela que le contrat de location de mobilier et de matériel a été conclu pour une durée de cinq ans, renouvelable tacitement. Pour le calcul des reprises, l’intimée a pris comme point de départ la valeur comptable au 31 décembre 2007, soit CHF 75'552.- (amortissements déduits), qu’elle a doublée en considérant que ce montant représentait le prix du marché au moment de la location, soit CHF 151'104.-. Ainsi, tenant compte d’un taux de 5.5%, tel qu’il ressort de la circulaire de l’AFC-CH sur les taux d’intérêt 2008 et d’un amortissement sur cinq ans, la mensualité de leasing s’élevait à CHF 2’886.26. Le TAPI a confirmé ce raisonnement, relevant que le leasing s’élevait à CHF 2'873.-, selon le calculateur de leasing en ligne MultiPoints. Or, dans la mesure où le montant retenu à ce titre par l’intimée était légèrement plus favorable à la recourante, il convenait de le confirmer. Le montant mensuel des reprises s’élevait ainsi à CHF 4'614.-, ce qui correspond à la différence entre le loyer convenu (CHF 7'500.-) et le loyer du marché (CHF 2'886.-). Considérant que la recourante avait accordé un loyer excessif durant les cinq premières années à compter de la conclusion du contrat, le 1er février 2008, l’intimée a procédé à des reprises de CHF 55'368.- (CHF 4'614.- x 12) pour les années 2010, 2011 et 2012, de CHF 87'114.- pour l’année 2013 (CHF 4'614.- + CHF 7'500 x 11) et CHF 90'000.- pour les années 2014 à 2018. En effet, pour la période subséquente à l’amortissement de cinq ans, l’AFC-GE a estimé que le loyer versé par la recourante était fictif, de sorte que la reprise mensuelle s’élevait à CHF 7'500.-. Ce raisonnement n’est pas critiquable. Malgré les demandes de l’intimée, la recourante n’a jamais fourni d’inventaire détaillé des biens mis en location, mentionnant la date et leur prix d’achat, ainsi que leur valeur vénale au début de la location. On ne saurait dès lors reprocher à l’AFC-GE de s’être fondée sur le prix d’acquisition du mobilier et du matériel tel qu’il ressortait du bilan de l’entreprise au 31 décembre 2007. En doublant le montant de la valeur comptable ainsi indiquée, l’AFC-GE a dûment tenu compte du fait que la valeur comptable est souvent inférieure à la valeur vénale. De son côté, la recourante ne prétend pas</w:t>
      </w:r>
    </w:p>
    <w:p>
      <w:r>
        <w:t>- 14/16 - A/1634/2022 que l’entreprise aurait procédé à des amortissements excessifs, ni que la valeur comptable indiquée dans les comptes de l’entreprise serait manifestement sous-évaluée. Elle ne remet pas non plus en cause les taux d’intérêt retenus pour le leasing. L’intéressée se limite à relever que, mêmes amortis, les biens conservent une valeur de location. Or, ainsi que l’a relevé le TAPI, il est difficilement concevable qu’un tiers indépendant accepte de continuer à verser un loyer pour bénéficier du droit d’utiliser du mobilier et du matériel ne comportant plus aucune valeur comptable. Il demanderait le transfert de propriété des biens loués ou la location d’objets plus récents. Le fait, pour la société, d’avoir continué à payer un loyer de CHF 7'500.- alors que les biens étaient totalement amortis ne peut s’expliquer qu’en raison de la proximité entre la société et son actionnaire. C’est ainsi à bon droit que l’AGC-GE a procédé aux reprises litigieuses.</w:t>
      </w:r>
    </w:p>
    <w:p>
      <w:r>
        <w:rPr>
          <w:b/>
        </w:rPr>
        <w:t>E. 6</w:t>
      </w:r>
    </w:p>
    <w:p>
      <w:r>
        <w:t>En dernier lieu, il convient d'examiner si les amendes infligées à la recourante sont conformes au droit.</w:t>
      </w:r>
    </w:p>
    <w:p>
      <w:r>
        <w:rPr>
          <w:b/>
        </w:rPr>
        <w:t>E. 6.1</w:t>
      </w:r>
    </w:p>
    <w:p>
      <w:r>
        <w:t>La quotité de l'amende est, en général, fixée au montant de l'impôt soustrait. Si la faute est légère, l'amende peut être réduite jusqu'au tiers de ce montant ; si la faute est grave, elle peut au plus être triplée (art. 175 al. 2 LIFD ; art. 56 al. 2 LHID et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 ; ATA/1368/2021 du 14 décembre 2021 consid. 9b ; ATA/1168/2020 du 17 novembre 2020 consid. 7a). Il convient notamment de réduire le montant de l'amende lorsque le contribuable a agi par négligence, celle-ci devant être considérée comme un cas de faute légère au sens de l'art. 175 LIFD (Diane MONTI, Les contraventions fiscales en droit fiscal harmonisé, 2001, p. 70). La quotité précise de l'amende doit par ailleurs être fixée en tenant compte des dispositions de la partie générale du Code pénal suisse du 21 décembre 1937 (CP - RS 311.0). Ainsi, conformément à l'art. 106 al. 3 CP, l'amende doit être fixée en tenant compte de la situation de l'auteur, afin que la peine corresponde à la faute commise. Les principes régissant la fixation de la peine, tels que prévus à l'art. 47 CP, s'appliquent.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en droit pénal fiscal (pour tout ce qui précède, ATF 144 IV 136 consid. 7.2.1 ; arrêt du Tribunal fédéral 2C_41/2020 du 24 juin 2020 consid. 9.1 ; ATA/1168/2020 précité).</w:t>
      </w:r>
    </w:p>
    <w:p>
      <w:r>
        <w:t>- 15/16 - A/1634/2022</w:t>
      </w:r>
    </w:p>
    <w:p>
      <w:r>
        <w:rPr>
          <w:b/>
        </w:rPr>
        <w:t>E. 6.2</w:t>
      </w:r>
    </w:p>
    <w:p>
      <w:r>
        <w:t>Dans la mesure où elles respectent le cadre légal, les autorités fiscales cantonales disposent d'un large pouvoir d'appréciation lors de la fixation de l'amende (ATF 114 Ib 27 consid. 4a ; arrêt du Tribunal fédéral 2C_1007/2012 du 15 mars 2013 consid. 5.2) et l'autorité de recours ne censure que l'abus ou l'excès du pouvoir d'appréciation (ATA/42/2011 du 25 janvier 2011 consid. 6 ; ATA/693/2009 du 22 décembre 2009 consid. 10a).</w:t>
      </w:r>
    </w:p>
    <w:p>
      <w:r>
        <w:rPr>
          <w:b/>
        </w:rPr>
        <w:t>E. 6.3</w:t>
      </w:r>
    </w:p>
    <w:p>
      <w:r>
        <w:t>En l'espèce, la recourante ne conteste plus le montant des amendes. L'AFC- GE a retenu une quotité de base de la moitié des impôts soustraits, ce qui apparaît justifié au regard, d’une part, de la bonne collaboration de la société, et, d’autre part, de la durée et de la répétition de la soustraction (sur une période de dix ans). Le jugement du TAPI sera aussi confirmé sur ce point. Au vu de ce qui précède, le recours sera rejeté.</w:t>
      </w:r>
    </w:p>
    <w:p>
      <w:r>
        <w:rPr>
          <w:b/>
        </w:rPr>
        <w:t>E. 7</w:t>
      </w:r>
    </w:p>
    <w:p>
      <w:r>
        <w:t>Vu l'issue du litige, un émolument de CHF 1'500.- sera mis à la charge de la recourante, qui succombe intégralement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