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ATA/72/2018 vom 23. Januar 2018</w:t>
      </w:r>
    </w:p>
    <w:p>
      <w:r>
        <w:t>GE Cour de justice, 2018-01-23, FR</w:t>
      </w:r>
    </w:p>
    <w:p>
      <w:r>
        <w:rPr>
          <w:b/>
        </w:rPr>
        <w:t xml:space="preserve">Quelle: </w:t>
      </w:r>
      <w:r>
        <w:t>https://mcp.opencaselaw.ch/entscheid/ge_gerichte_ATA_72_2018</w:t>
      </w:r>
    </w:p>
    <w:p>
      <w:r>
        <w:t>FR: GE_GERICHTE ATA/72/2018 du 23 janvier 2018</w:t>
      </w:r>
    </w:p>
    <w:p>
      <w:r>
        <w:t>IT: GE_GERICHTE ATA/72/2018 del 23 gennaio 2018</w:t>
      </w:r>
    </w:p>
    <w:p>
      <w:pPr>
        <w:pStyle w:val="Heading2"/>
      </w:pPr>
      <w:r>
        <w:t>Erwägungen</w:t>
      </w:r>
    </w:p>
    <w:p>
      <w:r>
        <w:rPr>
          <w:b/>
        </w:rPr>
        <w:t>E. 2</w:t>
      </w:r>
    </w:p>
    <w:p>
      <w:r>
        <w:t>janvier inclusivement (art. 63 al. 1 let. c LPA). Cette règle ne s’applique toutefois pas dans les procédures soumises aux règles de la LPFisc (art. 63 al. 2 let. e LPA). Quant à la LIFD, elle ne prévoit pas de suspension de délais (arrêt du Tribunal fédéral 2C_89/2015 du 23 octobre 2015 consid. 6.3 et la jurisprudence citée ; ATA/1261/2017 du 5 septembre 2017 consid. 2 ; ATA/381/2017 du 4 avril 2017 consid. 3). 3) 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ATA/1595/2017 du 12 décembre 2017 consid. 3a ; ATA/774/2016 du 13 septembre 2016 et les références citées).</w:t>
      </w:r>
    </w:p>
    <w:p>
      <w:r>
        <w:t>b. Les écrits doivent parvenir à l’autorité ou être remis à son adresse à un bureau de poste suisse ou à une représentation diplomatique ou consulaire suisse au plus tard le dernier jour du délai avant minuit (art. 17 al. 4 LPA).</w:t>
      </w:r>
    </w:p>
    <w:p>
      <w:r>
        <w:t>c. S’agissant d’un acte soumis à réception, telle une décision ou une communication de procédure, la notification est réputée faite au moment où l’envoi entre dans la sphère de pouvoir de son destinataire (Pierre MOOR/ Étienne POLTIER, Droit administratif, vol. 2, 3ème éd., 2011, p. 302-303 n. 2.2.8.3). Il suffit que celui-ci puisse en prendre connaissance (ATF 118 II 42 consid. 3b p. 44 ; 115 Ia 12 consid. 3b p. 17 ; arrêts du Tribunal fédéral 2P.259/2006 du 18 avril 2007 consid. 3.1 ; 2A.54/2000 du 23 juin 2000 consid. 2a et les références citées). 4)</w:t>
      </w:r>
    </w:p>
    <w:p>
      <w:r>
        <w:t>Les cas de force majeure sont réservés, conformément à l’art. 16 al. 1 2ème phr. LPA. Tombent sous cette notion les événements extraordinaires et imprévisibles qui surviennent en dehors de la sphère d’activité</w:t>
      </w:r>
    </w:p>
    <w:p>
      <w:r>
        <w:t>- 4/5 - A/1082/2017 de l’intéressé et qui s’imposent à lui de façon irrésistible (SJ 1999 I 119 ; ATA/512/2016 du 14 juin 2016 et les références citées). 5)</w:t>
      </w:r>
    </w:p>
    <w:p>
      <w:r>
        <w:t>En l’espèce, le recourant s'est vu notifier le jugement attaqué le 1er décembre 2017, ce qu'il indique du reste spontanément dans son acte de recours.</w:t>
      </w:r>
    </w:p>
    <w:p>
      <w:r>
        <w:t>Dès lors que, comme déjà mentionné, il n'y a pas lieu de tenir compte des suspensions de délais, le délai de recours a expiré le mardi 2 janvier à minuit, le dimanche 31 décembre 2017 et le lundi 1er janvier 2018 étant des jours fériés (et le premier en outre également un dimanche), ce qui renvoie au premier jour ouvrable utile.</w:t>
      </w:r>
    </w:p>
    <w:p>
      <w:r>
        <w:t>Partant, le recours, remis au guichet de la chambre administrative le mercredi 10 janvier 2018, est tardif. 6)</w:t>
      </w:r>
    </w:p>
    <w:p>
      <w:r>
        <w:t>Le recourant n'invoque par ailleurs aucun cas de force majeure qui l'aurait empêché de déposer son acte de recours en temps voulu. Il apparaît bien plutôt qu'il a cru pouvoir bénéficier des suspensions de délai de fin d'année, alors que tel n'était pas le cas. 7)</w:t>
      </w:r>
    </w:p>
    <w:p>
      <w:r>
        <w:t>Le recours sera ainsi déclaré irrecevable, sans autre acte d'instruction conformément à l'art. 72 LPA. 8)</w:t>
      </w:r>
    </w:p>
    <w:p>
      <w:r>
        <w:t>Malgré l'issue du litige, aucun émolument ne sera mis à la charge du recourant (art. 87 al. 1 LPA) ; vu cette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