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ATA/72/2012 vom 1. Februar 2012</w:t>
      </w:r>
    </w:p>
    <w:p>
      <w:r>
        <w:t>GE Cour de justice, 2012-02-01, FR</w:t>
      </w:r>
    </w:p>
    <w:p>
      <w:r>
        <w:rPr>
          <w:b/>
        </w:rPr>
        <w:t xml:space="preserve">Quelle: </w:t>
      </w:r>
      <w:r>
        <w:t>https://mcp.opencaselaw.ch/entscheid/ge_gerichte_ATA_72_2012</w:t>
      </w:r>
    </w:p>
    <w:p>
      <w:r>
        <w:t>FR: GE_GERICHTE ATA/72/2012 du 1 février 2012</w:t>
      </w:r>
    </w:p>
    <w:p>
      <w:r>
        <w:t>IT: GE_GERICHTE ATA/72/2012 del 1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- 3/4 - A/107/2012</w:t>
      </w:r>
    </w:p>
    <w:p>
      <w:r>
        <w:t>Il est donc exclu d’attribuer un effet suspensif à une décision négative. Dans un tel cas, la voie à suivre est celle de mesures provisionnelles (ATF 117 V 185 et ss ; ACOM/21/2008 du 20 février 2008 et les références citées).</w:t>
      </w:r>
    </w:p>
    <w:p>
      <w:r>
        <w:t>Ainsi, il y a lieu d’examiner la demande de M. B______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t>En l’espèce, faire droit à la requête de M. B______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1er janvier 2011).</w:t>
      </w:r>
    </w:p>
    <w:p>
      <w:r>
        <w:rPr>
          <w:b/>
        </w:rPr>
        <w:t>E. 5</w:t>
      </w:r>
    </w:p>
    <w:p>
      <w:r>
        <w:t>Le sort des frais sera réservé jusqu’à droit jugé au fond.</w:t>
      </w:r>
    </w:p>
    <w:p>
      <w:r>
        <w:t>LA CHAMBRE ADMINISTRATIVE rejette la demande de restitution d’effet suspensif valant requête de mesures provisionnelles formée par Monsieur B______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A/107/2012 communique la présente décision, en copie, à Me Imed Abdelli, avocat du recourant, ainsi qu'à l'Université de Genève et à la faculté des lettres.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