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ATA/729/2018 vom 10. Juli 2018</w:t>
      </w:r>
    </w:p>
    <w:p>
      <w:r>
        <w:t>GE Cour de justice, 2018-07-10, FR</w:t>
      </w:r>
    </w:p>
    <w:p>
      <w:r>
        <w:rPr>
          <w:b/>
        </w:rPr>
        <w:t xml:space="preserve">Quelle: </w:t>
      </w:r>
      <w:r>
        <w:t>https://mcp.opencaselaw.ch/entscheid/ge_gerichte_ATA_729_2018</w:t>
      </w:r>
    </w:p>
    <w:p>
      <w:r>
        <w:t>FR: GE_GERICHTE ATA/729/2018 du 10 juillet 2018</w:t>
      </w:r>
    </w:p>
    <w:p>
      <w:r>
        <w:t>IT: GE_GERICHTE ATA/729/2018 del 10 luglio 2018</w:t>
      </w:r>
    </w:p>
    <w:p>
      <w:pPr>
        <w:pStyle w:val="Heading2"/>
      </w:pPr>
      <w:r>
        <w:t>Regeste</w:t>
      </w:r>
    </w:p>
    <w:p>
      <w:r>
        <w:t>Résumé: Recours contre le refus de renouvellement des autorisations de séjour d'un ressortissant kosovar, récemment marié à une compatriote, et de leurs deux enfants mineurs. Examen de la durée de l'union conjugale entre le recourant et son ex-épouse, ressortissante suisse, en relation avec l'exigence de ménage commun et des raisons majeures de domiciles séparés. Si leur union conjugale a duré cinq ans, le ménage commun a duré moins de trois ans. Aucune raison personnelle majeure ne permet de renouveler l'autorisation de séjour du recourant et de ses deux fils, respectivement d'octroyer une autorisation de séjour à sa nouvelle épouse kosovare. Recours rejeté.</w:t>
      </w:r>
    </w:p>
    <w:p>
      <w:pPr>
        <w:pStyle w:val="Heading2"/>
      </w:pPr>
      <w:r>
        <w:t>Erwägungen</w:t>
      </w:r>
    </w:p>
    <w:p>
      <w:r>
        <w:rPr>
          <w:b/>
        </w:rPr>
        <w:t>E. 12</w:t>
      </w:r>
    </w:p>
    <w:p>
      <w:r>
        <w:t>septembre 2017 consid. 10).</w:t>
      </w:r>
    </w:p>
    <w:p>
      <w:r>
        <w:t>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w:t>
      </w:r>
    </w:p>
    <w:p>
      <w:r>
        <w:t>- 19/24 - A/2685/2016 conditions de sa réintégration sociale, au regard de sa situation personnelle, professionnelle et familiale, seraient gravement compromises (arrêts du Tribunal fédéral 2C_621/2015 du 11 décembre 2015 consid. 5.2.1 ; 2C_369/2010 du 4 novembre 2010 consid. 4.1).</w:t>
      </w:r>
    </w:p>
    <w:p>
      <w:r>
        <w:t>f. Les droits prévus à l'art. 43, 48 et 50 LEtr s'éteignent lorsqu'ils sont invoqués abusivement, notamment pour éluder les dispositions de la LEtr sur l'admission et le séjour ou ses dispositions d'exécution (art. 51 al. 2 let. a LEtr).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(mariage de complaisance ; SEM, op. cit., ch. 6.14). 8) a. En l’espèce, la question d’un éventuel mariage de complaisance qu’aurait conclu le recourant avec son ex-épouse peut souffrir de demeurer indécise pour les raisons qui suivent.</w:t>
      </w:r>
    </w:p>
    <w:p>
      <w:r>
        <w:t>Le recourant est arrivé en Suisse une première fois en 1994, soit à 22 ans, s’y est marié l’année suivante et en est parti en juillet 2002 suite à l’interdiction de séjour dont il a fait l’objet jusqu’en octobre 2005. Selon ses dires, il est ensuite revenu en Suisse en mars 2007 et s’y est marié avec une Suissesse la même année. Il y a ainsi passé au total environ dix-huit ans, soit une durée relativement longue, laquelle doit toutefois être relativisée.</w:t>
      </w:r>
    </w:p>
    <w:p>
      <w:r>
        <w:t>S’il est au bénéfice d’un contrat de travail à 100 % auprès du même employeur depuis plusieurs années et n’a jamais perçu l’aide sociale, le recourant indique faire l’objet de poursuites pour un montant estimé à CHF 7'000.- ou CHF 8'000.-. Ainsi que l’a relevé le TAPI, ses compétences et connaissances professionnelles pourront sans difficultés être mises à profit au Kosovo, et constitueront un atout pour sa réintégration.</w:t>
      </w:r>
    </w:p>
    <w:p>
      <w:r>
        <w:t>En outre, le recourant a fait l’objet d’une interdiction d’entrée sur le territoire suisse pendant deux ans en 2003. Il a en outre été condamné le 25 octobre 2013 pour abus de confiance et escroquerie à une peine pécuniaire avec sursis et une amende. En raison du sursis octroyé à la peine pécuniaire, cette condamnation n’est pas vouée à apparaître au casier judiciaire (art. 366 al. 2 CP a contrario), raison pour laquelle l’extrait de casier judiciaire versé à la procédure est vierge. En outre, les différents changements d’adresse du recourant entre les cantons de Berne, Vaud et Genève, alors qu’il apparaît qu’il vivait en réalité à R______ depuis 2008, ne permettent pas non plus de démontrer un profond respect de l’ordre juridique suisse.</w:t>
      </w:r>
    </w:p>
    <w:p>
      <w:r>
        <w:t>Quant à ses deux fils, ils sont officiellement arrivés en Suisse le 22 juillet 2008, c’est-à-dire âgés respectivement de 6 et 2 ans, le benjamin étant né à</w:t>
      </w:r>
    </w:p>
    <w:p>
      <w:r>
        <w:t>- 20/24 - A/2685/2016 Genève. Aujourd’hui respectivement âgés de 16 et 12 ans, ils ont passé à Genève une partie de leur enfance et de leur scolarité, laquelle, à teneur des attestations du DIP, se déroule bien, sans qu’elle ne puisse être qualifiée d’exceptionnelle. Toutefois, tous deux ont incontestablement gardé un lien fort avec leur famille au Kosovo et leur pays d’origine au vu des nombreuses demandes de visas de retour pour des vacances de plusieurs semaines, voire de plusieurs mois dans ce pays, et dans la mesure où ils y sont retournés vivre avec leur mère entre mars 2011 et septembre 2012. Ils parlent également toujours couramment leur langue maternelle et l’aîné suit une formation qu’il pourra aisément poursuivre au Kosovo. Bien que constitutives d’un important changement, leur réintégration et la poursuite de leurs études dans ce pays ne semblent donc pas compromises.</w:t>
      </w:r>
    </w:p>
    <w:p>
      <w:r>
        <w:t>Il n’en va pas différemment de la recourante. La date de son arrivée en Suisse ne peut pas être clairement établie. Si elle mentionne sur sa demande d’autorisation de séjour au titre du regroupement familial être arrivée en Suisse en décembre 2012, elle indique avoir séjourné à Genève entre 2004 et 2006 avec un « visa touristique » et y a accouché de son fils cadet le ______2005, soit au demeurant un mois après l’échéance de l’interdiction d’entrée prononcée à l’encontre du recourant, et à une époque où le recourant était censé se trouver au Kosovo. Elle avait en outre affirmé, lors de son audition à la police le 25 février 2011 dans le cadre de la plainte pénale déposée contre elle, qu’elle était arrivée en Suisse le 8 janvier 2011. Il n’est donc pas exclu que la recourante, voire son époux, aient passé plusieurs années en Suisse illégalement. En tout état, la recourante n’allègue pas être dans un état de nécessité ou de détresse particulier en Suisse ou au Kosovo, et, hormis des cours de français, elle ne démontre pas avoir fourni d’efforts particuliers d’intégration sociale ou professionnelle en Suisse.</w:t>
      </w:r>
    </w:p>
    <w:p>
      <w:r>
        <w:t>Ces circonstances particulières prises dans leur ensemble ne sont pas de nature à faire admettre qu’un retour au Kosovo constituerait un déracinement important et présenterait une rigueur excessive, de sorte que la situation des recourants et de leurs enfants ne peut pas être considérée comme constitutive de raisons personnelles majeures.</w:t>
      </w:r>
    </w:p>
    <w:p>
      <w:r>
        <w:t>b. Au vu de ce qui précède, c’est à bon droit que l’autorité intimée a refusé de donner une suite favorable à la demande de renouvellement des autorisations de séjour du recourant et de ses fils et d’autorisation de séjour au titre du regroupement familial à la recourante. Compte tenu du fait que le recourant ne remplissait pas les conditions d’obtention d’une prolongation d’une autorisation de séjour, c’est à juste titre que l’autorité intimée a refusé une autorisation d’établissement (art. 34 al. 2 let. a LEtr). 9) a. Selon l’art. 64 al. 1 let. c LEtr, tout étranger dont l’autorisation est refusée, révoquée ou qui n’est pas prolongée après un séjour autorisé est renvoyé. La décision de renvoi est assortie d’un délai de départ raisonnable (art. 64d al. 1 LEtr).</w:t>
      </w:r>
    </w:p>
    <w:p>
      <w:r>
        <w:t>- 21/24 - A/2685/2016</w:t>
      </w:r>
    </w:p>
    <w:p>
      <w:r>
        <w:t>b.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c. En l’espèce, les recourants ne font valoir aucun motif permettant de penser que l’exécution de leur renvoi serait impossible, illicite ou inexigible et le dossier ne laisse pas apparaître d’éléments qui tendraient à démontrer le contraire.</w:t>
      </w:r>
    </w:p>
    <w:p>
      <w:r>
        <w:t>C’est ainsi à bon droit que le renvoi des recourants a été prononcé et l’exécution de celui-ci ordonnée. 10) Les recourants soutiennent que l’autorité intimée aurait violé le principe de la proportionnalité en leur fixant un délai trop court pour quitter la Suisse.</w:t>
      </w:r>
    </w:p>
    <w:p>
      <w:r>
        <w:t>a. Aux termes de l’art. 64d al. 1 LEtr,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w:t>
      </w:r>
    </w:p>
    <w:p>
      <w:r>
        <w:t>Sous l’angle du principe de la proportionnalité, plus la durée du séjour est longue, plus le délai de départ devrait être généreux (ATF 130 II 176 consid. 4.4.2).</w:t>
      </w:r>
    </w:p>
    <w:p>
      <w:r>
        <w:t>b. En l’espèce la décision du 11 juillet 2016 entreprise fixait le renvoi au 11 octobre 2016, soit un délai de trois mois. Si la durée du séjour des recourants en Suisse était relativement longue, la fixation d’un tel délai, au demeurant dépassé depuis près de deux ans, n’est pas constitutive d’une violation du principe de la proportionnalité. 11) Dans ces circonstances, la décision de l’OCPM et le jugement du TAPI sont conformes au droit et le recours, entièrement mal fondé, sera rejeté. 12) Vu l’issue du litige, un émolument de CHF 400.- sera mis à la charge des recourants, pris conjointement et solidairement (art. 87 al. 1 LPA). Il ne sera pas alloué d’indemnité de procédure (art. 87 al. 2 LPA).</w:t>
      </w:r>
    </w:p>
    <w:p>
      <w:r>
        <w:t>* * * * *</w:t>
      </w:r>
    </w:p>
    <w:p>
      <w:r>
        <w:t>- 22/24 - A/2685/2016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