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ATA/729/2012 vom 30. Oktober 2012</w:t>
      </w:r>
    </w:p>
    <w:p>
      <w:r>
        <w:t>GE Cour de justice, 2012-10-30, FR</w:t>
      </w:r>
    </w:p>
    <w:p>
      <w:r>
        <w:rPr>
          <w:b/>
        </w:rPr>
        <w:t xml:space="preserve">Quelle: </w:t>
      </w:r>
      <w:r>
        <w:t>https://mcp.opencaselaw.ch/entscheid/ge_gerichte_ATA_729_2012</w:t>
      </w:r>
    </w:p>
    <w:p>
      <w:r>
        <w:t>FR: GE_GERICHTE ATA/729/2012 du 30 octobre 2012</w:t>
      </w:r>
    </w:p>
    <w:p>
      <w:r>
        <w:t>IT: GE_GERICHTE ATA/729/2012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Il est établi et non contesté que le pli recommandé de l’OCAN du 6 mars 2012 a fait l’objet d’une première tentative infructueuse de distribution le 7 mars 2012 à 12h25 et que le délai de garde de ce courrier a expiré le 14 mars 2012. Pour les raisons susexposées, M. H______ n’a reçu ce pli que le 24 avril 2012.</w:t>
      </w:r>
    </w:p>
    <w:p>
      <w:r>
        <w:rPr>
          <w:b/>
        </w:rPr>
        <w:t>E. 3</w:t>
      </w:r>
    </w:p>
    <w:p>
      <w:r>
        <w:t>a. Les délais fixés par la loi sont des dispositions de droit public qui présentent un caractère impératif. A ce titre, ils ne sont pas susceptibles d’être prolongés, restitués ou suspendus, sauf par le législateur lui-même (art. 16 al. 1 1ère phr. LPA ; ATA/779/2011 du 20 décembre 2011 ; ATA/515/2009 du 13 octobre 2009 ; ATA/785/2004 du 19 octobre 2004, consid. 3 ; B. BOVAY, Procédure administrative, Berne 2000, p. 378). De fait, celui qui n’agit pas dans le délai prescrit est forclos et la décision en cause acquiert force obligatoire (ATA/15/2004 du 6 janvier 2004, consid. 2a ; ATA/266/2000 du 18 avril 2000, et les références citées).</w:t>
      </w:r>
    </w:p>
    <w:p>
      <w:r>
        <w:t>b. 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(ATA/105/2012 du 24 février 2012 consid. 6b et les références citées).</w:t>
      </w:r>
    </w:p>
    <w:p>
      <w:r>
        <w:t>- 5/7 - A/1438/2012</w:t>
      </w:r>
    </w:p>
    <w:p>
      <w:r>
        <w:t>c. 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w:t>
      </w:r>
    </w:p>
    <w:p>
      <w:r>
        <w:t>d. Lorsque la décision n’est remise que contre la signature du destinataire ou d’un tiers habilité, elle est réputée reçue au plus tard sept jours après la première tentative infructueuse de distribution (art. 62 al. 4 LPA). Cette disposition légale entrée en vigueur le 1er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rés. in SJ 2001 I 193 pp. 195-196 ; 123 III 492 consid. 1 p. 493 ; 119 V 89 consid. 4b.aa p. 94, et les arrêts cités).</w:t>
      </w:r>
    </w:p>
    <w:p>
      <w:r>
        <w:t>e. Lorsque le destinataire donne l’ordre au bureau de poste de conserver son courrier, l’envoi recommandé est réputé notifié au plus tard le dernier jour du délai de garde, qui compte sept jours (ATF 127 I 31 précité). L’ordre de garder le courrier n’emporte, par conséquent, aucune dérogation aux principes généraux sur la notification des décisions sous pli recommandé (ATF 123 III 492 consid.1 pp. 493-494 ; 113 Ib 87 consid. 2b pp. 89-90 ; Arrêt du Tribunal fédéral 1P.250/1995 consid. 2b.cc ; SJ 2001 I 573 consid. 5 p. 582).</w:t>
      </w:r>
    </w:p>
    <w:p>
      <w:r>
        <w:t>f. D’autres arrangements particuliers avec la Poste ne peuvent repousser l’échéance de la notification (ATF 127 I 31 précité).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(ATF 113 Ib 87 consid. 2b pp. 89- 90).</w:t>
      </w:r>
    </w:p>
    <w:p>
      <w:r>
        <w:t>g. La fiction de la notification nécessite une règle claire, simple et avant tout uniforme (ATF 123 III 492 consid. 1 pp. 493-494, et les références jurisprudentielles citées). Cela est également important pour l’autorité prenant la décision, d’éventuelles parties au litige et l’autorité de recours. La Poste jouit de la même liberté qu’une entreprise et ses employés ne sont plus liés comme des fonctionnaires aux principes de l’activité étatique. Dès lors, la date de la notification ne doit pas dépendre d’un comportement favorable aux clients ou d’une prolongation par inadvertance du délai de garde. Dans ce domaine, il n’est pas excessivement formaliste de toujours considérer la notification comme</w:t>
      </w:r>
    </w:p>
    <w:p>
      <w:r>
        <w:t>- 6/7 - A/1438/2012 réalisée après l’écoulement de sept jours suivant la tentative de notification, indépendamment du délai concret de retrait octroyé par la Poste. Le moment de la notification fictive est toujours déterminable, puisque les sept jours débutent avec la tentative de remise de l’envoi, dont la date figure sur l’avis de retrait (ATA/321/2012 du 22 mai 2012 ; SJ 2001 I 193 consid. 2b pp. 196-197).</w:t>
      </w:r>
    </w:p>
    <w:p>
      <w:r>
        <w:rPr>
          <w:b/>
        </w:rPr>
        <w:t>E. 4</w:t>
      </w:r>
    </w:p>
    <w:p>
      <w:r>
        <w:t>En s’en tenant aux principes rappelés ci-dessus relatifs à la notification fictive, le TAPI n’a pas fait preuve d’un formalisme excessif. En effet, après avoir commis une infraction le 3 janvier 2012, M. H______ devait s’attendre à recevoir de l’OCAN une mesure administrative. Retenir, comme le souhaiterait le recourant, la date du 24 avril 2012 comme étant celle à laquelle la décision querellée lui a été signifiée prolongerait de manière indue le délai de recours, contrevenant ainsi au principe d’égalité de traitement.</w:t>
      </w:r>
    </w:p>
    <w:p>
      <w:r>
        <w:rPr>
          <w:b/>
        </w:rPr>
        <w:t>E. 5</w:t>
      </w:r>
    </w:p>
    <w:p>
      <w:r>
        <w:t>En tous points mal fondé, le recours sera rejeté. Un émolument de CHF 400.- sera mis à la charge du recourant. Vu l’issue du litige,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