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ATA/726/2023 vom 4. Juli 2023</w:t>
      </w:r>
    </w:p>
    <w:p>
      <w:r>
        <w:t>GE Cour de justice, 2023-07-04, FR</w:t>
      </w:r>
    </w:p>
    <w:p>
      <w:r>
        <w:rPr>
          <w:b/>
        </w:rPr>
        <w:t xml:space="preserve">Quelle: </w:t>
      </w:r>
      <w:r>
        <w:t>https://mcp.opencaselaw.ch/entscheid/ge_gerichte_ATA_726_2023</w:t>
      </w:r>
    </w:p>
    <w:p>
      <w:r>
        <w:t>FR: GE_GERICHTE ATA/726/2023 du 4 juillet 2023</w:t>
      </w:r>
    </w:p>
    <w:p>
      <w:r>
        <w:t>IT: GE_GERICHTE ATA/726/2023 del 4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- 6/14 - A/2970/2022 2. Est litigieux le refus de l’OCPM de préaviser favorablement auprès du SEM l’autorisation de séjour du recourant, de sa femme et de son fils et le prononcé de leur renvoi. 2.1 Le 1er janvier 2019 est entrée en vigueur une modification de la LEI et de l’OASA. Conformément à l'art. 126 al. 1 LEI, les demandes déposées, comme en l'espèce, après le 1er janvier 2019 sont régies par le nouveau droit.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2.2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- 7/14 - A/2970/2022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2.3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w:t>
      </w:r>
    </w:p>
    <w:p>
      <w:r>
        <w:t>- 8/14 - A/2970/2022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Tribunal administratif fédéral C 3592/2010 du 8 octobre 2012 consid. 6.2 ; ATA/434/2020 du 31 avril 2020 consid. 10). 2.4 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La chambre de céans a jugé tout récemment que si une jeune fille arrivée en Suisse à l’âge de 9 ½ ans et âgée de 14 ans, qui avait passé près de cinq ans et demi ans en Suisse, dont deux dans la période de l’adolescence, avait certes obtenu de bons résultats scolaires en 2012-2022, sa scolarité n’avait pas encore</w:t>
      </w:r>
    </w:p>
    <w:p>
      <w:r>
        <w:t>- 9/14 - A/2970/2022 revêtu une certaine durée ni atteint un certain niveau et elle ne s’était pas encore soldée par un résultat positif, suivant les exigences rappelées dans l’arrêt 123 II 125 précité consid. 4b (ATA/629/2023 du 13 juin 2023 consid. 3.6, non encore entré en force). Dans deux arrêts du même jour, concernant deux jeunes arrivés en Suisse, à l’âge de 13 ans et âgé de 23 ans, respectivement à l’âge de 11 ans et âgée de 21 ans, la chambre de céans a relevé qu'ils avaient passé leur adolescence en Suisse, période importante du développement personnel, scolaire et professionnel, entraînant souvent une intégration accrue dans un milieu déterminé, mais également qu'un tel élément ne justifiait toutefois pas, en soi et à lui seul, l'octroi d'une autorisation de séjour pour cas de rigueur, à moins de reconnaître, de facto, un droit à chaque jeune passant son adolescence en Suisse d’y demeurer. Il convenait de déterminer si leur relation avec la Suisse était si étroite qu'on ne puisse exiger d’eux qu'ils aillent vivre dans un autre pays, notamment dans leur pays d'origine. Or, leur intégration ne présentait pas de particularité et les relations établies en Suisse n’étaient pas d'une intensité telle que cela compromettait leur retour au Sénégal, pays dans lequel ils avaient des attaches familiales. Plusieurs membres importants de leur famille y vivaient encore, notamment leur mère et leurs grands-parents paternels, si bien qu'ils pourraient les aider à leur retour, en cas de besoin (ATA/430/2023 du 25 avril 2023 consid. 6 ; ATA/431/2023 du 25 avril 2023 consid. 6). Enfin, dans le cas d’enfants âgés de 16 et 15 ans et arrivés en Suisse à presque 12 et 11 ans, dont l’aînée entamait une formation gymnasiale et le cadet achevait le cycle d’orientation, la chambre de céans a notamment retenu que s’ils avaient certes réussi à s’intégrer au niveau scolaire, que la famille n’avait pas de dettes, n’émargeait pas à l’aide sociale et disposait d’un bail, mais aussi que leur mère, qui ne travaillait pas, attestait de sa participation à des cours de français mais n’avait pas apporté la preuve d’une certification A2, ne manifestait pas l’intention de s’intégrer professionnellement, n’indiquait pas participer à la vie locale et avait une courte durée de présence en Suisse, n’avait pas fait preuve d’une intégration socio-professionnelle remarquable, pour retenir que la réintégration de la famille au D______ ne poserait pas de problème (ATA/65/2023 du 24 janvier 2023 consid. 6.4). 2.5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- 10/14 - A/2970/2022 2.6 En l’espèce, le recourant est âgé de 55 ans, son épouse de 54 ans et leur fils de 16 ans. Le recourant soutient être arrivé en Suisse en 2012 et son épouse et leur fils sont arrivés à Genève au plus tôt en juillet 2018. Ainsi, au moment du dépôt de la demande d’autorisation de séjour, le 4 janvier 2019, le recourant séjournait en Suisse au plus depuis sept ans, et son épouse et leur fils depuis à peine un an et demi. Ces séjours ne peuvent être qualifiés de longue durée. Leur durée doit au surplus être relativisée dès lors qu’ils se sont déroulés dans l’illégalité. Le recourant travaille en qualité de plâtrier et est autonome financièrement. Il n’a ni dettes ni poursuites, n’émarge pas à l’aide sociale et son casier judiciaire est vierge. Il affirme maîtriser la langue française au niveau requis, sans toutefois l’établir par pièces. Si tous ces éléments sont louables, ils peuvent cependant être attendus de tout étranger souhaitant s’établir en Suisse et ne traduisent pas une intégration professionnelle remarquable, ainsi que l’a relevé à bon droit le TAPI. L’épouse du recourant n’indique pas travailler ni s’être investie dans la vie culturelle ou associative. Elle n’a pas produit de preuve de ses connaissances linguistiques du français. L’intégration socio-professionnelle du recourant et de son épouse ne saurait dans ces circonstances être qualifiée de remarquable. Les qualités personnelles et professionnelles du recourant et le fait qu’il soit fortement apprécié de ses voisins et collègues et donne entière satisfaction à son employeur ne sont pas discutés, mais ne suffisent toutefois pas à établir une intégration exceptionnelle au sens de la jurisprudence. Ces derniers ont vécu au D______ jusqu’à l’âge de respectivement 43 et 50 ans, ce qui correspond à leur enfance, leur adolescence et la plus grande partie de leur âge adulte. Il n’est pas douteux qu’ils en maîtrisent la langue et les codes culturels. Ils sont tous deux en bonne santé. Le recourant ne soutient pas qu’il aurait acquis en Suisse une expérience professionnelle qu’il ne pourrait faire valoir ailleurs. Il pourra au contraire faire valoir dans son pays d’origine l’expérience acquise en Suisse. Le recourant et son épouse ne soutiennent pas qu’ils n’auraient plus de famille ni d’amis au D______, et le TAPI a relevé à bon droit qu’ils avaient demandé en 2019 des visas pour y accomplir une visite familiale. Il peut ainsi être retenu qu’ils trouveront en cas de retour un appui pour leur réintégration. Rien dans le dossier ne permet ainsi de conclure que leur réintégration au D______ les confronterait à des difficultés plus élevées que celles qu’affrontent leurs compatriotes placés dans une situation semblable. Leur fils C______ est désormais âgé de 16 ans à peine et a passé une partie de son adolescence en Suisse où il a suivi apparemment avec succès sa scolarité – il devrait avoir achevé le cycle d’orientation en juin 2023. Il est toutefois arrivé en</w:t>
      </w:r>
    </w:p>
    <w:p>
      <w:r>
        <w:t>- 11/14 - A/2970/2022 Suisse à l’âge de 11 ans et a passé auparavant toute son enfance avec sa mère au D______, pays dont il maîtrise encore la langue et la culture. S’il a passé quelques années de la période décisive pour son acculturation en Suisse, il n’a pas encore achevé, ni d’ailleurs entamé, de formation, et la situation globale de sa famille et en particulier le défaut évident d’intégration de sa mère ne permettent pas en l’espèce de considérer qu’il serait à ce point intégré et assimilé en Suisse que son renvoi constituerait un déracinement (ATA/65/2023 précitée). Au contraire, C______ est encore jeune, il sera accompagné de ses deux parents et il pourra faire valoir au D______ les acquis scolaires de ses années passées en Suisse, de sorte que sa réintégration même si elle exigera de sa part une réadaptation, n’apparaît pas présenter des difficultés insurmontables. Il suit de là que ni l’OCPM ni le TAPI n’ont violé la LEI ou abusé de leur pouvoir d’appréciation en rejetant la demande d’autorisation de séjour du recourant, de son épouse et de leur fils. Dès lors que l’OCPM a, à juste titre, refusé l’octroi d’une autorisation de séjour, il devait prononcer leur renvoi. En l’espèce, aucun motif ne permet de retenir que l’exécution du renvoi ne serait pas possible, licite ou ne pourrait raisonnablement être exigée. Le recourant ne le soutient pas. Entièrement mal fondé, le recours sera rejeté. 3. Vu l’issue du litige, un émolument de CHF 400.-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