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ATA/726/2020 vom 4. August 2020</w:t>
      </w:r>
    </w:p>
    <w:p>
      <w:r>
        <w:t>GE Cour de justice, 2020-08-04, FR</w:t>
      </w:r>
    </w:p>
    <w:p>
      <w:r>
        <w:rPr>
          <w:b/>
        </w:rPr>
        <w:t xml:space="preserve">Quelle: </w:t>
      </w:r>
      <w:r>
        <w:t>https://mcp.opencaselaw.ch/entscheid/ge_gerichte_ATA_726_2020</w:t>
      </w:r>
    </w:p>
    <w:p>
      <w:r>
        <w:t>FR: GE_GERICHTE ATA/726/2020 du 4 août 2020</w:t>
      </w:r>
    </w:p>
    <w:p>
      <w:r>
        <w:t>IT: GE_GERICHTE ATA/726/2020 del 4 agosto 2020</w:t>
      </w:r>
    </w:p>
    <w:p>
      <w:pPr>
        <w:pStyle w:val="Heading2"/>
      </w:pPr>
      <w:r>
        <w:t>Regeste</w:t>
      </w:r>
    </w:p>
    <w:p>
      <w:r>
        <w:t>Résumé: Confirmation de la reprise de la provision pour produits différés effectuée par l’AFC-GE. Les conditions d’une opération de « sale and lease back » ne sont pas remplies. Même s’il devait être considéré qu’une telle opération a eu lieu et que les normes comptables exigeraient la constitution d’une provision, celle-ci ne pourrait être admise, notamment du fait qu’elle ne respecte pas le principe de périodicité.</w:t>
      </w:r>
    </w:p>
    <w:p>
      <w:pPr>
        <w:pStyle w:val="Heading2"/>
      </w:pPr>
      <w:r>
        <w:t>Erwägungen</w:t>
      </w:r>
    </w:p>
    <w:p>
      <w:r>
        <w:rPr>
          <w:b/>
        </w:rPr>
        <w:t>E. 14</w:t>
      </w:r>
    </w:p>
    <w:p>
      <w:r>
        <w:t>décembre 1990 - LIFD - RS 642.11 ; art. 62 al. 1 let. a de la loi sur la procédure administrative du 12 septembre 1985 - LPA - E 5 10). 2)</w:t>
      </w:r>
    </w:p>
    <w:p>
      <w:r>
        <w:t>Est litigieuse la reprise de la provision pour produits différés de CHF 9'590'258.- comptabilisée par H______ pour l’année fiscale 2015. 3)</w:t>
      </w:r>
    </w:p>
    <w:p>
      <w:r>
        <w:t>La recourante sollicite, à titre de mesures d’instruction, l’audition des représentants de l’organe de révision en charge des comptes 2014 de E______ et qu’une expertise judiciaire soit ordonnée pour se prononcer sur l’exigence imposée par le droit commercial suisse de comptabiliser une provision pour produits différés dans le cadre de l’opération de « sale and leaseback » et le caractère impératif du maintien de cette provision pendant la durée du bail, respectivement du leasing.</w:t>
      </w:r>
    </w:p>
    <w:p>
      <w:r>
        <w:t>- 12/25 - A/2786/2018</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1er avril 2015 consid. 3.1 ; 1C_582/2012 du 9 juillet 2013 consid. 2.1 et les arrêts cités).</w:t>
      </w:r>
    </w:p>
    <w:p>
      <w:r>
        <w:t>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 134 I 140 consid. 5.3 ; 125 I 127 consid. 6c/cc in fine ; 124 I 208 consid. 4a et les arrêts cités ; arrêt du Tribunal fédéral du 8C_702/2014 du</w:t>
      </w:r>
    </w:p>
    <w:p>
      <w:r>
        <w:rPr>
          <w:b/>
        </w:rPr>
        <w:t>E. 16</w:t>
      </w:r>
    </w:p>
    <w:p>
      <w:r>
        <w:t>octobre 2015 ; 8C_19/2015 et 8C_24/2015 du 9 septembre 2015 consid. 4 et 5).</w:t>
      </w:r>
    </w:p>
    <w:p>
      <w:r>
        <w:t>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2C_835/2014 du 22 janvier 2015 consid. 3.1 ; 1C_148/2012 du 26 juin 2012 consid. 3.1 ; 1C_424/2009 du 6 septembre 2010 consid. 2).</w:t>
      </w:r>
    </w:p>
    <w:p>
      <w:r>
        <w:t>Le droit d’être entendu comprend le droit de faire administrer des preuves. Toutefois, l’autorité peut mettre un terme à l’instruction lorsque les preuves administrées lui ont permis de former sa conviction et que, procédant d’une manière non arbitraire à une appréciation anticipée des preuves proposées, elle a la conviction que celles-ci ne pourraient l’amener à modifier son opinion (ATF 136 I 229 consid. 5.3 ; arrêt du Tribunal fédéral 8C_19/2015 et 8C_24/2015 précité consid. 4 et 5).</w:t>
      </w:r>
    </w:p>
    <w:p>
      <w:r>
        <w:t>b. En l’espèce, les mesures d'instruction sollicitées par la recourante ne visent pas à permettre d'établir des faits, mais à apporter au dossier une position juridique. Saisie d'un recours, la chambre administrative applique le droit d'office</w:t>
      </w:r>
    </w:p>
    <w:p>
      <w:r>
        <w:t>- 13/25 - A/2786/2018 (art. 69 al. 1 LPA), sans être liée par l'argumentation juridique des parties. La recourante a par ailleurs pu s'exprimer à de nombreuses reprises par écrit et faire valoir ses arguments, tant en procédure non contentieuse que devant le TAPI et la chambre de céans. Elle a également pu verser au dossier les pièces qu'elle jugeait nécessaires pour l'issue du litige. La chambre administrative dispose ainsi d'un dossier complet lui permettant de statuer en toute connaissance de cause. Il ne sera par conséquent pas donné suite aux autres requêtes de la recourante. 4) a. Les questions de droit matériel sont résolues en fonction du droit en vigueur lors des périodes fiscales litigieuses (ATA/191/2020 du 18 février 2020 consid. 4b ; ATA/379/2018 du 24 avril 2018 et les références citées).</w:t>
      </w:r>
    </w:p>
    <w:p>
      <w:r>
        <w:t>b. En l’espèce, le présent litige porte sur la taxation 2015, tant en matière d'ICC que d'IFD. La cause est ainsi régie par le droit en vigueur durant ces périodes, à savoir, s'agissant de l'IFD, par les dispositions de la LIFD et, pour ce qui est de l'ICC, par celles de la loi sur l'imposition des personnes morales du 23 septembre 1994 (LIPM - D 3 15).</w:t>
      </w:r>
    </w:p>
    <w:p>
      <w:r>
        <w:t>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5) a. Selon les art. 11 LIPM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57, 58, al. 1 LIFD ; Xavier OBERSON, Droit fiscal suisse, 4ème éd., 2012, p. 224).</w:t>
      </w:r>
    </w:p>
    <w:p>
      <w:r>
        <w:t>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et sur lequel il sera revenu ci-après.</w:t>
      </w:r>
    </w:p>
    <w:p>
      <w:r>
        <w:t>b. Les cantons doivent imposer l'ensemble du bénéfice net, dans lequel doivent notamment être inclus les charges non justifiées par l'usage commercial, portées au débit du compte de résultat, ainsi que les produits et les bénéfices en capital, de liquidation et de réévaluation qui n'ont pas été portés au crédit du compte de résultat (art. 24 al. 1 let. a et b de la loi fédérale sur l'harmonisation des impôts directs des cantons et des communes du 14 décembre 1990 - LHID - RS 642.14).</w:t>
      </w:r>
    </w:p>
    <w:p>
      <w:r>
        <w:t>- 14/25 - A/2786/2018</w:t>
      </w:r>
    </w:p>
    <w:p>
      <w:r>
        <w:t>c. À Genève, le 30 mars 2016, est entrée en vigueur la nouvelle teneur de plusieurs dispositions de la LIPM dont notamment l’art. 12 LIPM, adopté le 29 janvier 2016 par le Grand Conseil. La LIPM ne comprend aucune disposition transitoire prévoyant notamment l'application de la nouvelle teneur desdites dispositions aux causes pendantes au moment de son entrée en vigueur. Il sera ainsi fait application des dispositions légales pertinentes dans leur teneur antérieure aux décisions de taxation en cause.</w:t>
      </w:r>
    </w:p>
    <w:p>
      <w:r>
        <w:t>Selon l'art. 12 let. a LIPM, constitue le bénéfice net imposable celui qui résulte du compte de pertes et profits augmenté de certains prélèvement énoncés aux art. 12 let. b à i LIPM. L'art. 12 LIPM, même rédigé différemment, est de même portée que l'art. 58 al. 1 LIFD (ATA/380/2018 du 24 avril 2018 et les arrêts cités).</w:t>
      </w:r>
    </w:p>
    <w:p>
      <w:r>
        <w:t>d. Selon l'art. 63 al. 1 LIFD, des provisions peuvent être constituées à la charge du compte de résultat pour les engagements de l'exercice dont le montant est encore indéterminé (let. a), les risques de pertes sur des actifs circulants (let. b) et les risques de pertes imminentes durant l'exercice (let. c). En ICC, les provisions justifiées par l'usage commercial sont également admises en déduction du bénéfice (art. 13 let. e LIPM).</w:t>
      </w:r>
    </w:p>
    <w:p>
      <w:r>
        <w:t>e. L'admissibilité d'une provision au plan fiscal suppose qu'elle soit justifiée par l'usage commercial et qu'elle ait été dûment comptabilisée (arrêt du Tribunal fédéral 2C_455/2017 du 17 septembre 2018 consid. 6.3).</w:t>
      </w:r>
    </w:p>
    <w:p>
      <w:r>
        <w:t>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w:t>
      </w:r>
    </w:p>
    <w:p>
      <w:r>
        <w:t>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Pour être acceptées, les provisions doivent prévenir des pertes imminentes ou parer à des risques menaçants découlant d'engagements ou de charges encourues, et non pas couvrir des risques aléatoires (Division Études et supports/AFC, juin 2012, « L'imposition des personnes morales », in Informations fiscales éditées par la Conférence suisse des impôts CSI, ch. 411.3, p. 56).</w:t>
      </w:r>
    </w:p>
    <w:p>
      <w:r>
        <w:t>Le droit fiscal ne permet pas la constitution par le biais de provisions de réserves latentes, pourtant tolérées en droit commercial (ATF 103 Ib 366 ; Robert DANON, in Yves NOËL/Florence AUBRY GIRARDIN, Commentaire</w:t>
      </w:r>
    </w:p>
    <w:p>
      <w:r>
        <w:t>- 15/25 - A/2786/2018 romand de la loi sur l'impôt fédéral direct, 2ème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précité consid. 3.1 et les arrêts cités). Le droit fiscal n'admet ainsi pas la diminution artificielle du bénéfice par le biais de provisions injustifiées (arrêt du Tribunal fédéral 2C_1101/2014 du 23 novembre 2015 consid. 3).</w:t>
      </w:r>
    </w:p>
    <w:p>
      <w:r>
        <w:t>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2012, L'imposition des personnes morales, in Informations fiscales éditées par la Conférence suisse des impôts CSI, ch. 411.3, p. 56).</w:t>
      </w:r>
    </w:p>
    <w:p>
      <w:r>
        <w:t>Les provisions pour les engagements de l'exercice au sens de l'art. 63 al. 1 let. a LIFD doivent reposer sur un contrat ou sur une loi. Cela comprend les engagements conditionnels, pour autant que la réalisation de la condition soit très vraisemblable (arrêt du Tribunal fédéral 2C_581/2010 précité consid. 3.1). Cette catégorie de provisions contient celles pour garanties et pour dommages-intérêts (Message sur l'harmonisation fiscale, FF 1983 III, p. 177 ; Robert DANON, op.cit. ad art. 63 n. 19) ainsi que les provisions pour litige ou constituées pour des affaires en cours (Robert DANON, op.cit. ad art. 63 n. 19 et 20).</w:t>
      </w:r>
    </w:p>
    <w:p>
      <w:r>
        <w:t>f. Deux conditions doivent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 montant est indéterminé à la date de clôture du bilan, doivent s'être produits durant l'exercice commercial en cours : arrêts du Tribunal fédéral 2A.90/2001 du 25 janvier 2002 consid. 3.2 = RDAF 2002 II 315 ; 2C_945/2011 du 12 octobre 2012 consid. 2.2) ;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 ; 2C_392/2009 du 23 août 2009 consid. 2.1 et les références citées ; ATA/223/2020 du 25 février 2020 consid. 4c).</w:t>
      </w:r>
    </w:p>
    <w:p>
      <w:r>
        <w:t>Lorsque des provisions, qui ont été passées en charge du compte de résultat, ne sont pas admissibles, l'autorité fiscale est en droit de procéder à la dissolution</w:t>
      </w:r>
    </w:p>
    <w:p>
      <w:r>
        <w:t>- 16/25 - A/2786/2018 de la provision (arrêt du Tribunal fédéral 2C_581/2010 précité consid. 3.1). La dissolution d'une provision est susceptible d'intervenir dès qu'elle n'est plus justifiée commercialement, engendrant une correction en défaveur du contribuable (Danielle YERSIN/Yves NOËL [éd.], Impôt fédéral direct, Commentaire de la loi sur l’impôt fédéral direct, 2008, n. 41 et 67 ad art. 58 LIFD).</w:t>
      </w:r>
    </w:p>
    <w:p>
      <w:r>
        <w:t>g. S'agissant des déductions autorisées par la loi, leur caractère d'exception à l'impôt doit entraîner une interprétation restrictive de leur nature et de leur étendue (ATA/858/2018 du 21 août 2018 ; ATA/958/2014 du 2 décembre 2014 et les références citées). 6)</w:t>
      </w:r>
    </w:p>
    <w:p>
      <w:r>
        <w:t>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(ATA/778/2016 du 13 septembre 2016 consid. 8 et les références citées).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w:t>
      </w:r>
    </w:p>
    <w:p>
      <w:r>
        <w:t>Les comptes établis conformément aux règles du droit commercial lient les autorités fiscales, à moins que le droit fiscal ne prévoie de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 arrêt du Tribunal fédéral 2C_645/2012 du 13 février 2013 consid. 3.1). 7)</w:t>
      </w:r>
    </w:p>
    <w:p>
      <w:r>
        <w:t>Le leasing immobilier est un contrat mixe. Il consiste dans la cession à long terme de la jouissance d'immeubles à vocation industrielle ou commerciale, moyennant paiement d'une redevance permettant l'amortissement de la chose et à l'échéance duquel le preneur de leasing dispose, en règle générale, de trois options, soit la conclusion d'un contrat prolongeant le leasing, la restitution ou au contraire l'acquisition de l'objet en vertu d'un droit d'emption qui lui est accordé (ATF 132 III 549 consid. 1 et 2.1.2, DB 2007 n. 25 ; François BOHNET/ Marino MONTINI, Droit du bail à loyer, 2010, ad art. 253 CO, n. 91). 8) a. Les normes RPC sont largement diffusées en Suisse. Elles font partie des normes comptables reconnues par le Conseil fédéral qui doivent être appliquées par certaines entreprises selon les art. 962a et 963b de la loi fédérale complétant le</w:t>
      </w:r>
    </w:p>
    <w:p>
      <w:r>
        <w:t>- 17/25 - A/2786/2018 Code civil suisse du 30 mars 1911 (Livre cinquième : Droit des obligations - CO - RS 220 ; Conseil fédéral, Ordonnance sur les normes comptables reconnues du 21 novembre 2012, art. 1). De nombreuses entreprises ont fait le choix de présenter leurs comptes annuels ou leurs comptes consolidés conformément aux normes RPC, soit sur une base volontaire, soit en application du nouveau droit comptable (Vincent DOUSSE/Daniel OYON, Mise en œuvre des SWISS GAAP RPC, EF 3/16 p. 136).</w:t>
      </w:r>
    </w:p>
    <w:p>
      <w:r>
        <w:t>b. Selon le MSA citant les normes RPC, une opération de vente et relocation (« sale and leaseback ») doit être présentée sans effet sur le résultat. Bien que la loi ne soit pas explicite à cet égard, il n'est pas non plus approprié, dans les comptes établis conformément au CO, qu'un bénéfice ait une incidence sur le résultat, même si la vente représente une réalisation objective dans le cadre d'une opération de vente-relocation. Dans le cas d'une interprétation juridique d'une opération de vente-relocation, le produit de la vente obtenue serait considéré comme réalisé. En revanche, une considération économique tient compte du fait que le produit de la vente représente le cas échéant une compensation pour des paiements de leasing excessifs à verser. De ce point de vue, un éventuel écart entre la valeur maximale légale et le prix de vente le plus élevé doit être inscrit au passif et dissous dans le compte de résultat pendant la durée du contrat de leasing (Manuel suisse d'audit, Tenue de la comptabilité et présentation des comptes, éd. 2014, p. 199, IV.2.15.4).</w:t>
      </w:r>
    </w:p>
    <w:p>
      <w:r>
        <w:t>c. La recommandation SWISS GAAP RPC 13 concernant les transactions de leasing distingue deux catégories de leasing : le leasing financier et le leasing d'exploitation. Cette distinction se base sur des critères économiques (§ 2 de la recommandation). Selon les explications relatives à ce § 2 contenues dans la recommandation SWISS GAAP RPC 13, le point de vue économique place la substance d'un contrat au-dessus de sa forme juridique. Ainsi, la propriété juridique n'est pas prise en considération, mais bien les droits et risques liés à l'utilisation économique de l'objet en leasing.</w:t>
      </w:r>
    </w:p>
    <w:p>
      <w:r>
        <w:t>Selon le § 3 de la recommandation, d'une manière générale, il y a opération de leasing financier lorsque l'un des critères suivants est rempli : - lors de la conclusion du contrat, la valeur escomptée des versements de leasing ainsi qu'un éventuel paiement de solde (option d'achat) correspondent approximativement au coût d'acquisition ou à la valeur nette du marché de l'objet en leasing ; - la durée de leasing présumée ne s'écarte pas de manière substantielle de sa durée économique d'utilisation ; - la propriété de l'objet en leasing est transférée à l'échéance du contrat au preneur de leasing ;</w:t>
      </w:r>
    </w:p>
    <w:p>
      <w:r>
        <w:t>- 18/25 - A/2786/2018 - l'éventuel paiement d'un solde (option d'achat) à la fin du contrat de leasing est substantiellement inférieur à la valeur nette du marché au début du contrat.</w:t>
      </w:r>
    </w:p>
    <w:p>
      <w:r>
        <w:t>Toutes les transactions de leasing ne pouvant être qualifiées de leasing financier sont à considérer comme leasing d'exploitation (explications sur § 3).</w:t>
      </w:r>
    </w:p>
    <w:p>
      <w:r>
        <w:t>Le leasing financier est porté au bilan et doit y figurer séparément. La valeur comptable nette des objets en leasing activés par leasing financier et le montant total des passifs en résultant doivent apparaître au bilan ou dans l'annexe (§ 4 de la recommandation).</w:t>
      </w:r>
    </w:p>
    <w:p>
      <w:r>
        <w:t>Selon les explications relatives à ce § 4, les versements de leasing doivent être répartis en une composante de remboursement et une composante d'intérêts. La composante d'intérêts comprend également les autres coûts courants. La composante de remboursement (amortissement) doit être déduite des engagements découlant du leasing et les intérêts et autres coûts doivent être enregistrés dans le résultat de la période. 9) a. Pour décider du caractère commercialement justifié d'une opération, il faut adopter le point de vue de la société en cause, celui du groupe de sociétés auquel elle appartient n'étant pas admissible (arrêts du Tribunal fédéral 2C_985/2012 et 2C_986/2012 du 4 avril 2014 consid. 2.3). En effet, le droit suisse ne connaît pas ‒ à l'exception de quelques dispositions ‒ de véritable droit des sociétés de groupe et traite chaque société comme une entité juridiquement indépendante disposant de ses propres organes, lesquels doivent effectuer des opérations dans l'intérêt de la société concernée (art. 717 al. 1 CO) et non pas dans celui du groupe, d'autres sociétés ou de son détenteur majoritaire de parts (ATF 110 Ib 593).</w:t>
      </w:r>
    </w:p>
    <w:p>
      <w:r>
        <w:t>Dans un groupe toutefois, les opérations entre sociétés doivent intervenir comme si elles avaient lieu avec des tiers dans un environnement de libre concurrence (principe du « dealing at arm's length » ou du « Drittvergleich »). Cette règle trouve son point d'ancrage dans celle de la « justification commerciale » de l'art. 58 al. 1 LIFD qui veut qu'une société se comporte envers ses actionnaires ou toute personne la ou les touchant de près, comme le ferait un commerçant prudent qui, dans ses relations d'affaires avec des tiers, adopte une position adéquate dans l'intérêt de la société. En d'autres termes, la société qui passe des actes juridiques avec ses actionnaires ou toute personne la ou les touchant de près doit le faire dans les mêmes conditions que celles auxquelles elle aurait accepté de traiter avec des tiers dans les mêmes circonstances, faute de quoi l'opération est contraire au principe du « dealing at arm's length » et ne s'explique que par les relations privilégiées entre les parties (arrêts du Tribunal fédéral 2C_985/2012 et 2C_986/2012 précité consid. 2.3 ; 2C_291/2013 du 26 novembre 2013 consid. 4). Cela vaut tant pour le choix des formes juridiques</w:t>
      </w:r>
    </w:p>
    <w:p>
      <w:r>
        <w:t>- 19/25 - A/2786/2018 que pour la fixation des montants (ATF 119 Ib 116 consid. 2 ; arrêt du Tribunal fédéral 2A.355/2004 du 20 juin 2005 consid. 2.2, RF 60/2005 p. 963).</w:t>
      </w:r>
    </w:p>
    <w:p>
      <w:r>
        <w:t>b. Bien que la loi exige dans certains cas la tenue de comptes consolidés, ceux-ci ne sont pas directement pertinents pour la détermination du résultat imposable. En effet, ils ne concernent par définition pas uniquement la société contribuable et ne peuvent dès lors pas servir à l'imposition de son bénéfice (RF 61/2006 p. 486, 489). 10) Le principe d’imparité, selon lequel les produits sont comptabilisés au moment de leur réalisation et les charges dès qu'elles deviennent actuelles (ATF 116 II 533 consid. 2a/dd), est une concrétisation du principe de la prudence (ATF 136 II 88 consid. 5.4). 11) a.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arrêts du Tribunal fédéral 1C_205/2012 précité consid. 2.1 ;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la référence citée ; 2C_703/2008 du 8 janvier 2009 consid. 5.2 ; 2C_80/2007 du 25 juillet 2007 consid. 4 et les références citées).</w:t>
      </w:r>
    </w:p>
    <w:p>
      <w:r>
        <w:t>Le droit genevois de procédure administrative prévoit par ailleurs que les parties sont tenues de collaborer à la constatation des faits dans les procédures qu'elles introduisent elles-mêmes, dans celles où elles y prennent des conclusions indépendantes ainsi que dans les autres cas prévus par la loi (art. 22 LPA applicable par renvoi de l'art. 2 al. 2 LPFisc).</w:t>
      </w:r>
    </w:p>
    <w:p>
      <w:r>
        <w:t>b. En matière fiscale plus spécifiquement,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w:t>
      </w:r>
    </w:p>
    <w:p>
      <w:r>
        <w:t>- 20/25 - A/2786/2018 apporter la preuve et de supporter les conséquences de l’échec de cette preuve (ATF 133 II 153 consid. 4.3 ; arrêts du Tribunal fédéral 2C_89/2014 du 26 novembre 2014 consid. 7.2 ; 2C_319/2014 du 9 septembre 2014 consid. 2.2 ; ATA/1197/2018 du 6 novembre 2018 consid. 3a ; ATA/809/2015 du 11 août 2015 consid. 6d). Ces règles s’appliquent également à la procédure devant les autorités de recours en matière fiscale (arrêts du Tribunal fédéral 2C_986/2013 du 15 septembre 2014 consid. 5.1.4 ; 2C_47/2009 du 26 mai 2009 consid. 5.4). 12) La recourante expose en premier lieu que les recommandations du MSA de la norme RPC 13 dans le cas spécifique des opérations de « sale and leaseback », qui imposent de lisser le gain résultant de la vente sur la durée du leasing, constituent une norme spécifique du droit comptable qui prévaut sur le principe général d’imparité. Elle considère que les comptes 2014 de E______ ne violent ainsi aucune norme impérative du droit comptable, de sorte que la provision litigieuse devait être admise.</w:t>
      </w:r>
    </w:p>
    <w:p>
      <w:r>
        <w:t>Se pose au préalable la question de savoir si une opération de leasing financier dite « sale and leaseback » a effectivement eu lieu et si celle-ci impliquait obligatoirement, selon les règles du droit comptable, la comptabilisation de la provision litigieuse.</w:t>
      </w:r>
    </w:p>
    <w:p>
      <w:r>
        <w:t>En l’occurrence, il n’est pas contesté que les trois contrats du 11 juillet 2014 relatifs à l’opération ‒ qualifiée par la recourante de « sale and leaseback », ce que conteste l’AFC-GE ‒ sur laquelle s’est fondée H______ pour constituer la provision litigieuse en 2015 ont été conclus entre deux parties, à savoir la fondation et D______. À teneur desdits contrats, D______ a vendu l’immeuble à la fondation pour un montant de CHF 17'000'000.-, la fondation a remis à bail l’immeuble pour une durée de vingt ans à D______, moyennant le versement d’un loyer annuel de CHF 825'600.-, sous réserve d’indexation, et les parties ont conclu une promesse irrévocable de vente et d’achat de l’immeuble pour le prix de CHF 17'000'000.-, indexé uniquement en cas de hausse de l’ISPC, dont l’exécution pouvait être demandée par chacune des parties en tout temps, mais dans un délai maximum de vingt-cinq ans. Il n’est pas non plus contesté que suite à la scission de D______ survenue en 2015, H______ a repris l’obligation de rachat de l’immeuble et la provision litigieuse, tandis que A______ a repris les droits et obligations découlant du contrat de bail, à savoir notamment le paiement du loyer. Ainsi, force est de constater que suite à l’opération de scission, survenue durant l’exercice litigieux, H______ ne prenait pas en charge le loyer de l’immeuble. Ce faisant, elle ne pouvait prétendre être liée à une opération de « sale and leaseback » pour justifier la comptabilisation de la provision litigieuse alors qu’elle n’assumait en réalité plus une partie des obligations y relative au 31 décembre de l’exercice litigieux.</w:t>
      </w:r>
    </w:p>
    <w:p>
      <w:r>
        <w:t>Contrairement à ce que relève la recourante, l’opération de « sale and leaseback » ne saurait être traitée de manière globale aux motifs que H______ et</w:t>
      </w:r>
    </w:p>
    <w:p>
      <w:r>
        <w:t>- 21/25 - A/2786/2018 A______ font partie du même groupe ‒ C______ ‒, qu’elles ont pour actionnaire commun B______ et qu’elles sont sises dans le même canton. En effet, comme cela ressort de la jurisprudence susmentionnée, le droit fiscal suisse ne connaît pas, sauf disposition légale expresse, de régime spécial pour les groupes de sociétés, de sorte que les opérations entre sociétés d’un même groupe doivent intervenir comme si elles étaient effectuées avec des tiers.</w:t>
      </w:r>
    </w:p>
    <w:p>
      <w:r>
        <w:t>Pour le surplus, le fait que les raisons de la scission aient été purement économiques et organisationnelles, comme le relève la recourante, ne change rien aux considérations qui précèdent.</w:t>
      </w:r>
    </w:p>
    <w:p>
      <w:r>
        <w:t>En conséquence, il ne sera pas examiné plus en avant les questions de savoir si l’opération découlant des trois contrats conclus le 11 juillet 2014 peut être qualifiée de « sale and leaseback », ni si des normes de droit comptable commandaient la constitution de la provision litigieuse. 13) a. En toute hypothèse, même s’il devait être considéré qu’une opération de « sale and leaseback » a effectivement eu lieu et que des normes comptables imposeraient la constitution d’une provision, la provision pour produits différés litigieuse ne saurait être admise pour les motifs qui suivent.</w:t>
      </w:r>
    </w:p>
    <w:p>
      <w:r>
        <w:t>La recourante expose que la provision litigieuse entrerait dans le champ d’application de l’art. 63 al. 1 let. a LIFD, en vertu duquel la déduction de provisions couvrant les engagements de l’exercice dont le montant est encore indéterminé est autorisée. Selon elle, l’engagement est certain, mais son montant est indéterminé en raison de la clause d’indexation figurant dans le contrat de bail.</w:t>
      </w:r>
    </w:p>
    <w:p>
      <w:r>
        <w:t>b. Selon la recourante, la provision litigieuse, constituée pour la première fois en 2014 pour un montant pratiquement équivalent au gain immobilier résultant de la vente de l’immeuble le 11 juillet 2014, doit être dissoute dans le compte de résultat des comptes statutaires sur la durée du bail, soit sur vingt ans, pour un montant annuel d’approximativement CHF 518'381.-.</w:t>
      </w:r>
    </w:p>
    <w:p>
      <w:r>
        <w:t>Or, comme indiqué précédemment, suite à la scission intervenue en 2015, H______ n’assumait plus à l’issue de l’exercice litigieux la charge de loyer auprès de la fondation. Elle n’était dès lors pas fondée à comptabiliser une provision en lien avec un engagement dont elle n’avait plus la charge. D’autre part, il ressort des explications de la recourante que la provision litigieuse visait à éviter que le gain provenant de la vente de l’immeuble en 2014 n’ait une incidence sur le résultat de l’année et ainsi à opérer un « lissage » de ce montant sur la durée du bail. Or, une provision constituée en 2015 et calculée en fonction du gain réalisé en 2014 ne répond pas au principe de périodicité. Indépendamment de ce qui précède, comme rappelé ci-avant, l’inscription d’une provision constitue une correction qui vise à prévenir le risque que le résultat ne soit pas conforme à la réalité et qu'une perte apparaisse ultérieurement, qui existait déjà au moment du</w:t>
      </w:r>
    </w:p>
    <w:p>
      <w:r>
        <w:t>- 22/25 - A/2786/2018 bouclement des comptes. Or, en l’occurrence, la provision litigieuse n’a pas été constituée en 2015 dans le but de prévenir une perte mais de neutraliser le gain réalisé suite à la vente survenue en 2014. Même à considérer que la provision litigieuse ait été constituée non pas pour neutraliser le gain réalisé suite à la vente de l’immeuble mais pour faire face aux charges de loyers à venir, elle ne serait pas non plus admissible compte tenu du fait que H______ n’assumait plus cette charge de loyer en 2015. En outre, le montant du loyer annuel convenu dans le contrat de bail du 11 juillet 2014 pouvait uniquement varier en fonction de l’indexation de l’ISPC. Comme le relève l’AFC-GE, le montant des loyers qui aurait pu varier en raison de la clause d’indexation ne justifiait ainsi pas la comptabilisation d’une provision si élevée.</w:t>
      </w:r>
    </w:p>
    <w:p>
      <w:r>
        <w:t>Pour le surplus, contrairement à ce que relève la recourante, le fait que les normes IFRS ou RPC prévoient l’obligation de constituer une provision pour produits différés, n’empêche pas les autorités fiscales de réintégrer une telle provision au motif qu’il s’agit d’une provision non admissible, cette possibilité étant expressément prévue par la loi. En effet, comme relevé dans la jurisprudence précitée, les comptes établis conformément aux règles du droit commercial lient les autorités fiscales, à moins que le droit fiscal ne prévoie des règles correctrices spécifiques.</w:t>
      </w:r>
    </w:p>
    <w:p>
      <w:r>
        <w:t>C’est ainsi à raison que le TAPI a confirmé la reprise de la provision pour produits différés effectuée par l’AFC-GE. 14) La recourante considère que selon la chronologie des faits et de l’argumentaire développé par l’AFC-GE dans sa décision du 23 avril 2015 refusant le « ruling » sollicité, elle pouvait de bonne foi considérer que l’alignement entre le droit comptable et fiscal serait accepté, ce d’autant plus au regard des décisions de taxation 2014 de D______. 15) En droit public, le principe de la bonne foi est explicitement consacré par l'art. 5 al. 3 Cst., en vertu duquel les organes de l'État et les particuliers doivent agir de manière conforme aux règles de la bonne foi (ATF 144 II 49 consid. 2.2 p. 52). De ce principe général découle notamment le droit fondamental du particulier à la protection de sa bonne foi dans ses relations avec l'État, consacré à l'art. 9 in fine Cst. (ATF 138 I 49 consid. 8.3.1).</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w:t>
      </w:r>
    </w:p>
    <w:p>
      <w:r>
        <w:t>- 23/25 - A/2786/2018 saurait renoncer sans subir de préjudice et (5) que la réglementation n'ait pas changé depuis le moment où l'assurance a été donnée (ATF 141 V 530 consid. 6.2 et les références citées).</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(art. 5 et 9 Cst. ; ATF 131 II 627 consid. 6.1 ; arrêt du Tribunal fédéral 2C_78/2019 du 20 septembre 2019 consid. 8.1). 16) En matière fiscale, en application du principe de l'étanchéité (ou de l'indépendance) des exercices comptables et des périodes fiscales, l'autorité n'est pas liée pour l'avenir par une taxation notifiée pour une période fiscale déterminée ; à ce défaut, elle risquerait de se trouver indéfiniment liée par une erreur ou une omission qu'elle aurait pu commettre initialement (arrêt 2C_383/2011 du 31 octobre 2011 consid. 3.3). 17) La recourante expose notamment qu’en refusant, suite à sa demande de « ruling », de lisser le gain lié à la vente de l’immeuble sur vingt ans au motif qu’aucune disposition ne permettait de s’écarter du droit comptable, et en le refusant à nouveau dans le cadre de sa taxation, alors que les normes RPC 13 rendaient obligatoire la constitution de la provision litigieuse, l’AFC-GE avait eu un comportement contradictoire. Or, à teneur de la décision du 23 avril 2015, l’AFC-GE n’a pas refusé le « lissage » du gain au motif qu’aucune disposition ne permettait de s’écarter du droit comptable, mais en raison du fait qu’il existait un gain en capital devant être soumis à l’impôt sur le bénéficie des personnes morales, le droit fiscal ne contenant aucune disposition permettant de s’écarter de ce résultat. La chambre de céans peine également à suivre la recourante quand elle prétend qu’elle pouvait déduire de la décision de refus de « ruling » du 23 avril 2015 que la comptabilisation de sa provision serait admise. Ladite décision indiquait au contraire ‒ ce qu’elle relève elle-même dans son recours ‒ que la vente de l’immeuble avait généré un gain en capital soumis à l’impôt sur le bénéfice des personnes morales. Ainsi, la recourante ne saurait se fonder sur ladite décision pour prétendre qu’elle pouvait de bonne foi présumer que la comptabilisation de la provision litigieuse serait admise.</w:t>
      </w:r>
    </w:p>
    <w:p>
      <w:r>
        <w:t>Par ailleurs, la recourante n’a pas démontré que l’AFC-GE lui aurait fait une quelconque promesse quant au maintien de la provision litigieuse.</w:t>
      </w:r>
    </w:p>
    <w:p>
      <w:r>
        <w:t>Pour le surplus, comme cela ressort de la jurisprudence précitée, le fait que l’AFC-GE ait, par erreur, admis la provision litigieuse en 2014, mais l’ait refusée en 2015, ne viole pas le principe d'étanchéité des exercices comptables, dès lors qu'en matière fiscale, l'autorité n'est pas liée par une erreur ou une omission commise les années précédentes.</w:t>
      </w:r>
    </w:p>
    <w:p>
      <w:r>
        <w:t>- 24/25 - A/2786/2018</w:t>
      </w:r>
    </w:p>
    <w:p>
      <w:r>
        <w:t>Ce grief sera dès lors également écarté. 18) Il résulte de ce qui précède que le recours, mal fondé, doit être rejeté. 19) Vu l'issue du litige, un émolument de CHF 2’500.-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