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ATA/726/2012 vom 30. Oktober 2012</w:t>
      </w:r>
    </w:p>
    <w:p>
      <w:r>
        <w:t>GE Cour de justice, 2012-10-30, FR</w:t>
      </w:r>
    </w:p>
    <w:p>
      <w:r>
        <w:rPr>
          <w:b/>
        </w:rPr>
        <w:t xml:space="preserve">Quelle: </w:t>
      </w:r>
      <w:r>
        <w:t>https://mcp.opencaselaw.ch/entscheid/ge_gerichte_ATA_726_2012</w:t>
      </w:r>
    </w:p>
    <w:p>
      <w:r>
        <w:t>FR: GE_GERICHTE ATA/726/2012 du 30 octobre 2012</w:t>
      </w:r>
    </w:p>
    <w:p>
      <w:r>
        <w:t>IT: GE_GERICHTE ATA/726/2012 del 30 ottobre 2012</w:t>
      </w:r>
    </w:p>
    <w:p>
      <w:pPr>
        <w:pStyle w:val="Heading2"/>
      </w:pPr>
      <w:r>
        <w:t>Regeste</w:t>
      </w:r>
    </w:p>
    <w:p>
      <w:r>
        <w:t>Résumé: La construction d'une piscine de 55 m2 sur une parcelle de 1'714 m2 en 5ème zone comptant, outre une habitation de 97 m2, un garage privé de 35 m2 et un autre bâtiment de 5 m2, respecte la surface totale admise par le RCI. S'agissant d'une construction de peu d'importance, la demande d'autorisation y relative peut être traitée en procédure accélérée et la piscine peut être construite à une distance inférieure à 6 mètres par rapport à la limite de propriété de la recourante, voisine des intimés. Aucun motif ne permet de s'écarter des sept préavis favorables relatifs à la construction litigieuse, cette dernière étant conforme à l'affectation de la zone et les éventuels bruits propagés par les enfants des intimés âgés de 12 et 16 ans ne pouvant pas être considérés comme des inconvénients graves, malgré les problèmes de santé de la recourante et de son fils. L'autorisation de construire la piscine litigieuse à 24,5 mètres de la lisière de la forêt ne met pas en péril le bien-être des habitants.</w:t>
      </w:r>
    </w:p>
    <w:p>
      <w:pPr>
        <w:pStyle w:val="Heading2"/>
      </w:pPr>
      <w:r>
        <w:t>Erwägungen</w:t>
      </w:r>
    </w:p>
    <w:p>
      <w:r>
        <w:rPr>
          <w:b/>
        </w:rPr>
        <w:t>E. 26</w:t>
      </w:r>
    </w:p>
    <w:p>
      <w:r>
        <w:t>septembre 2010 - LOJ - E 2 05 ; art. 17A al. 1 let. c et 62 al. 1 let. a de la loi sur la procédure administrative du 12 septembre 1985 - LPA - E 5 10). 2) a. Seul les voisins dont les intérêts sont lésés de façon directe et spéciale ont l’intérêt particulier requis (ATF 133 II 249 consid. 1.3.1 ;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 Arrêts du Tribunal fédéral 1C_152/2012 du 21 mai 2012 consid. 2.1 ; 1C_125/2009 du 24 juillet 2009 consid. 1 ; ATA/649/2012 précité ; ATA/321/2009 du 30 juin 2009 consid. 2 ; ATA/331/2007 du 26 juin 2007 consid. 3d).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 133 II 181 consid. 3.2.3 ; Arrêts du Tribunal fédéral 1C_503/2008 du 10 février 2009 et 1C_158/2008 du 30 juin 2008 consid. 2). En particulier, l’intérêt digne de protection des voisins est admis lorsqu’ils se prévalent de normes ayant des effets concrets ou juridiques sur leur situation (ATF 133 II 249 consid. 1.3.2). Tel est notamment le cas des règles régissant la densité et le volume des constructions</w:t>
      </w:r>
    </w:p>
    <w:p>
      <w:r>
        <w:t>- 8/15 - A/2236/2011 ainsi que de celles relatives aux distances entre les constructions (ATF 127 I 44 consid. 2d).</w:t>
      </w:r>
    </w:p>
    <w:p>
      <w:r>
        <w:t>b. En l’espèce, la parcelle de Mme Szokoloczy-Grobet est adjacente à celle des époux Dupuy. L’intéressée est touchée directement par la construction de la piscine sur la parcelle voisine et a un intérêt personnel digne de protection à l’annulation de la décision litigieuse. La qualité pour recourir doit lui être reconnue. Le recours est donc recevable.</w:t>
      </w:r>
    </w:p>
    <w:p>
      <w:r>
        <w:t>Dans ses écritures, la recourante se prévaut des problèmes de santé de son fils, domicilié à Carouge, pour contester l’autorisation délivrée aux époux Dupuy, dans la mesure où les nuisances occasionnées par la piscine seraient néfastes pour lui. Celui-ci n’étant pas partie à la présente procédure et n’étant pas domicilié chez sa mère, les griefs de celle-ci relatifs à l’état de santé de son fils seront écartés. 3)</w:t>
      </w:r>
    </w:p>
    <w:p>
      <w:r>
        <w:t>Dans un premier temps, la recourante a sollicité une comparution personnelle et un transport sur place et, dans un second temps, s’en est rapportée à justice sur ces points.</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ATA/301/2012 du 15 mai 2012).</w:t>
      </w:r>
    </w:p>
    <w:p>
      <w:r>
        <w:t>b. En l’espèce, la recourante a été entendue par le TAPI. Elle a eu l’occasion de se déterminer par écrit devant la juridiction de céans. Le dossier étant complet, la chambre administrative dispose des éléments nécessaires pour statuer sans</w:t>
      </w:r>
    </w:p>
    <w:p>
      <w:r>
        <w:t>- 9/15 - A/2236/2011 donner suite à la demande d’audition et de transport sur place présentée par l’intéressée. 4)</w:t>
      </w:r>
    </w:p>
    <w:p>
      <w:r>
        <w:t>Subsidiairement, la recourante demande à la chambre administrative d’ordonner une tentative de conciliation.</w:t>
      </w:r>
    </w:p>
    <w:p>
      <w:r>
        <w:t>a. Les juridictions administratives peuvent en tout temps procéder à une tentative de conciliation (art. 65A al. 1 LPA). Elles peuvent déléguer un de leurs magistrats à cet effet (art. 65A al. 2 LPA).</w:t>
      </w:r>
    </w:p>
    <w:p>
      <w:r>
        <w:t>b. S’agissant d’une disposition potestative, la chambre de céans n’est pas tenue de procéder à la tentative de conciliation sollicitée, d’autant plus qu’en l’espèce, la recourante indique qu’elle a déjà tenté, à plusieurs reprises et en vain, de trouver une solution amiable avec ses voisins. 5)</w:t>
      </w:r>
    </w:p>
    <w:p>
      <w:r>
        <w:t>Le litige porte sur l’autorisation de construire une piscine sur la parcelle n° 3’717, accordée en procédure accélérée aux intimés par le département et confirmée par le TAPI, à l’exclusion des travaux de terrassement mentionnés par la recourante, ceux-ci n’étant pas concernés par l’autorisation litigieuse et ne faisant pas l’objet de la présente procédure. 6) a. Selon l’art. 3 al. 7 de la loi sur les constructions et les installations diverses du 14 avril 1988 (LCI - L 5 05), le département peut traiter par une procédure accélérée les demandes d’autorisation relatives à des travaux portant sur la modification intérieure d’un bâtiment existant ou ne modifiant pas l’aspect général de celui-ci. La procédure accélérée peut également être retenue pour des constructions nouvelles de peu d’importance ou provisoires.</w:t>
      </w:r>
    </w:p>
    <w:p>
      <w:r>
        <w:t>b. Sont réputées constructions de peu d’importance, à la condition qu’elles ne servent ni à l’habitation, ni à l’exercice d’une activité commerciale, industrielle ou artisanale, celles dont la surface n’excède pas 50 m2 et qui s’inscrivent dans un gabarit limité. Dans tous les cas, la surface totale des constructions de peu d’importance ne doit pas excéder 8 % de la surface de la parcelle et au maximum 100 m2 (art. 3 al. 3 du règlement d’application de la LCI du 27 février 1978 - RCI - L 5 05.01 ; ATA/461/2011 du 26 juillet 2011).</w:t>
      </w:r>
    </w:p>
    <w:p>
      <w:r>
        <w:t>c. A titre d’exemple, sont qualifiées de peu d’importance, pour autant qu’elles soient compatibles avec les normes de la zone de constructions dans laquelle elles sont projetées, les piscines, cabanes de jardin ou vérandas (MGC 1992 p. 4657 ; ATA/310/2006 du 13 juin 2006).</w:t>
      </w:r>
    </w:p>
    <w:p>
      <w:r>
        <w:t>d. Selon la jurisprudence, les travaux consistant en la surélévation de 75 centimètres d’un bâtiment villageois en zone 4B protégée ne sont pas de peu d’importance de sorte que, dans un tel cas de figure, la procédure accélérée ne saurait être suivie (ATA/302/2000 du 16 mai 2000). Celle-ci a en revanche été admise pour la création d’un jardin d’hiver d’une surface de 19,25 m2 accolé au</w:t>
      </w:r>
    </w:p>
    <w:p>
      <w:r>
        <w:t>- 10/15 - A/2236/2011 bâtiment principal d’une maison d’habitation de 52 m2 au sol formant l’extrémité d’une barre de maisons contiguës, sises en zone 4B protégée (ATA/37/2005 du 25 janvier 2005). Elle a également été admise pour l’agrandissement de 23 m2 d’une habitation sise en zone villa d’une surface de 115 m2 par l’avancement de 2 mètres 50 d’un mur d’une largeur de 7 mètres avec prolongement de la toiture (ATA/3/2006 du 10 janvier 2006).</w:t>
      </w:r>
    </w:p>
    <w:p>
      <w:r>
        <w:t>e. En l’espèce, la parcelle n° 3’717 d’une surface de 1’714 m2 compte, outre une habitation de 97 m2, un garage privé de 35 m2 et un autre bâtiment de 5 m2. La piscine de 55 m2 ne dépasse pas la limite de 8 % fixée par le RCI et respecte la surface totale admise par ledit règlement. La demande d’autorisation relative à la piscine qui constitue une construction de peu d’importance pouvait être traitée par la voie de la procédure accélérée. Ce grief de la recourante sera ainsi écarté. 7)</w:t>
      </w:r>
    </w:p>
    <w:p>
      <w:r>
        <w:t>La recourante soutient que la construction de la piscine porterait une atteinte excessive à sa propriété, en raison des nuisances sonores qu’elle occasionnerait, compte tenu de sa propre fragilité et de la santé de son fils.</w:t>
      </w:r>
    </w:p>
    <w:p>
      <w:r>
        <w:t>a. A teneur de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ni modifier la configuration du terrain (let. d).</w:t>
      </w:r>
    </w:p>
    <w:p>
      <w:r>
        <w:t>b. Dès que les conditions légales sont réunies, le département est tenu de délivrer l’autorisation de construire (art. 1 al. 5 LCI).</w:t>
      </w:r>
    </w:p>
    <w:p>
      <w:r>
        <w:t>c. Selon l’art. 14 LCI, le département peut refuser les autorisations prévues à l’art. 1 LCI notamment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w:t>
      </w:r>
    </w:p>
    <w:p>
      <w:r>
        <w:t>d.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(ATA/330/2009 précité ; ATA/649/2002 du 5 novembre 2002 et les arrêts cités).</w:t>
      </w:r>
    </w:p>
    <w:p>
      <w:r>
        <w:t>- 11/15 - A/2236/2011</w:t>
      </w:r>
    </w:p>
    <w:p>
      <w:r>
        <w:t>e. Les dispositions cantonales concernant la limitation quantitative des nuisances n’ont plus de portée propre dans les domaines réglés par le droit fédéral (ATF 117 Ib 157 ; 113 Ib 220). Depuis l’entrée en vigueur de la loi fédérale sur la protection de l’environnement du 7 octobre 1983 (LPE - RS 814.01), la protection des personnes contre les atteintes nuisibles ou incommodantes, notamment contre le bruit, est réglée par la législation fédérale. En revanche, le droit fédéral laisse subsister les prescriptions cantonales concernant des objectifs particuliers d’urbanisme, telles que les règles d’affectation du sol destinées à définir les caractéristiques d’une zone ou d’un quartier (ATF 117 Ib 157 ; ATA/330/2009 du</w:t>
      </w:r>
    </w:p>
    <w:p>
      <w:r>
        <w:rPr>
          <w:b/>
        </w:rPr>
        <w:t>E. 30</w:t>
      </w:r>
    </w:p>
    <w:p>
      <w:r>
        <w:t>juin 2009 ; ATA/127/2009 du 10 février 2009).</w:t>
      </w:r>
    </w:p>
    <w:p>
      <w:r>
        <w:t>f. Selon le Tribunal fédéral, en matière de bruit lié aux bâtiments d’habitation, à défaut de valeurs limites d’exposition et d’indications claires sur le niveau des immissions, l’autorité d’exécution doit évaluer le caractère nuisible ou incommodant des atteintes en se fondant sur les critères de la LPE (art. 40 al. 3 de l’ordonnance sur la protection contre le bruit du 15 décembre 1986 - OPB - RS 814.41). En particulier, conformément à l’art. 15 LPE, il convient de se fonder sur l’expérience, pour examiner si les nuisances invoquées sont propres à gêner de manière sensible la population dans son bien-être. Il s’agit d’un critère objectif. Doivent être prises en compte les caractéristiques de la zone ou du quartier, mais il ne suffit pas de constater que certains voisins directs se déclarent incommodés pour qualifier le bruit d’excessif (ATF 123 II 74 consid. 5a p. 86 ; ATA/330/2009 précité ; ATA/310/2006 du 13 juin 2006).</w:t>
      </w:r>
    </w:p>
    <w:p>
      <w:r>
        <w:t>g. Chaque fois que l’autorité administrative suit les préavis des commissions consultatives, l’autorité de recours observe une certaine retenue, fonction de son aptitude à trancher le litige (ATA/549/2011 du 30 août 2011 ; ATA/330/2009 précité ; ATA/129/2003 du 11 mars 2003 ; S. GRODECKI, La jurisprudence en matière d’aménagement du territoire et de droit public des constructions rendue par le Tribunal administratif genevois en 2009, in RDAF 2010 I p. 159 ss, p. 171- 172 et p. 177 ; T. TANQUEREL, La pesée des intérêts vue par le juge administratif, in C.-.A.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(ATA/549/2011 précité ; ATA/330/2009 précité).</w:t>
      </w:r>
    </w:p>
    <w:p>
      <w:r>
        <w:t>h. En l’espèce, le dossier compte notamment sept préavis favorables relatifs à la construction de la piscine, dont il n’y a pas de raison prépondérante de s’écarter. Le projet litigieux est conforme à l’affectation de la zone et aucun élément ne permet de penser que l’usage qui sera fait de la piscine par les intimés ne sera pas conforme à celui prévu dans une zone résidentielle. Les enfants des</w:t>
      </w:r>
    </w:p>
    <w:p>
      <w:r>
        <w:t>- 12/15 - A/2236/2011 intimés sont âgés respectivement de 12 et 16 ans. Les éventuels bruits propagés par des adolescents utilisant une piscine privée ne peuvent pas être considérés comme des inconvénients graves, d’autant plus que les enfants des intimés ont la possibilité d’utiliser le jardin avec ou sans piscine.</w:t>
      </w:r>
    </w:p>
    <w:p>
      <w:r>
        <w:t>La LCI n’ayant pas pour but de protéger les intérêts des voisins, les arguments de la recourante relatifs à sa santé fragile ainsi qu’à celle de son fils ne supportant pas le bruit ne permettent pas de s’écarter des divers préavis positifs émis par les différentes autorités consultées. Il n’appartient pas aux intimés de supporter les problèmes de santé de la recourante et de son fils - ce dernier n’étant au demeurant pas domicilié chez sa mère mais à Carouge -, en s’abstenant de construire une piscine sur leur parcelle.</w:t>
      </w:r>
    </w:p>
    <w:p>
      <w:r>
        <w:t>Aucun élément ne permettant à la chambre administrative de s’écarter des différents préavis favorables figurant au dossier, les griefs de la recourante ne peuvent qu’être écartés. 8)</w:t>
      </w:r>
    </w:p>
    <w:p>
      <w:r>
        <w:t>La recourante souligne encore que la construction litigieuse ne respecte pas les distances aux limites de propriété.</w:t>
      </w:r>
    </w:p>
    <w:p>
      <w:r>
        <w:t>a. Selon l’art. 69 al. 2 LCI, sous réserve des dispositions des art. 67 et 68, la distance entre une construction et une limite de propriété ne peut en aucun cas être inférieure à 6 mètres. L’art 68 LCI prévoit néanmoins que des constructions de peu d’importance peuvent être édifiées à la limite de propriété ou à une distance inférieure à celles prévues à l’art. 69, selon les conditions fixées par le RCI.</w:t>
      </w:r>
    </w:p>
    <w:p>
      <w:r>
        <w:t>b. En l’espèce, la piscine de 55 m2 est une construction de peu d’importance respectant la surface totale admise par le RCI (cf. supra consid. 6e), Elle peut être construite à une distance inférieure à 6 mètres. Par conséquent, le grief de la recourante relatif aux limites de propriété doit être écarté. 9)</w:t>
      </w:r>
    </w:p>
    <w:p>
      <w:r>
        <w:t>Le recours porte également sur le bien-fondé - contesté - de la dérogation accordée aux intimés sur la base de l’art. 11 de la loi sur les forêts du 20 mai 1999 (LForêts - M 5 10).</w:t>
      </w:r>
    </w:p>
    <w:p>
      <w:r>
        <w:t>a. L’art. 17 al. 1 de la loi fédérale sur les forêts du 4 octobre 1991 (LFo - RS 921.0) dispose que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 ATA/843/2010 du 30 novembre 2010 ; ATA/446/2010 du 29 juin 2010).</w:t>
      </w:r>
    </w:p>
    <w:p>
      <w:r>
        <w:t>b. L’art. 11 al. 1 LForêts prévoit que l’implantation de constructions à moins de 30 mètres de la lisière de la forêt est interdite.</w:t>
      </w:r>
    </w:p>
    <w:p>
      <w:r>
        <w:t>- 13/15 - A/2236/2011</w:t>
      </w:r>
    </w:p>
    <w:p>
      <w:r>
        <w:t>Le département peut, après consultation du département, de la commune, de la CMNS et de la commission consultative de la diversité biologique,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(art. 11 al. 2 LForêts).</w:t>
      </w:r>
    </w:p>
    <w:p>
      <w:r>
        <w:t>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 8 et 9 LForêts (art. 11 al. 3 LForêts).</w:t>
      </w:r>
    </w:p>
    <w:p>
      <w:r>
        <w:t>c. En l’espèce, en accordant l’autorisation sollicitée, le département a suivi les préavis favorables émis par les différentes autorités spécialisées consultées, notamment ceux de la SCNS, de la sous-commission de la flore et de la DGNP, dont il n’existe aucun motif de s’écarter (cf. supra consid. 7g et 7h). L’autorisation de construire la piscine litigieuse à 24,5 mètres de la lisière de la forêt ne mettrait en rien en péril le bien-être des habitants, le but de la LForêts étant notamment d’assurer la protection du milieu forestier (art. 1 LForêts). L’octroi de la dérogation à l’art. 11 LForêts est donc conforme au droit. Le grief de la recourante est mal fondé. 10) S’agissant des canalisations, la recourante n’apporte aucun élément permettant de penser que le projet est incomplet, dans la mesure où il prévoit un séparatif intégral concernant les eaux usées et pluviales ainsi que pour les déchets toxiques. La DGE a émis un préavis favorable, à la condition que les eaux de lavage des filtres et de nettoyage de la piscine soient écoulées au réseau des eaux polluées et celles de vidange au réseau des eaux non polluées du système d’assainissement des eaux de la parcelle, conformément à la directive cantonale sur l’évacuation des eaux de piscines familiales jointe au préavis. Le département a précisé à ce sujet qu’un plan spécifique pour les canalisations n’était pas nécessaire car il y avait un système de séparatif intégral. Ce grief doit donc être écarté. 11) Au vu de ce qui précède, le recours sera rejeté et la décision litigieuse confirmée.</w:t>
      </w:r>
    </w:p>
    <w:p>
      <w:r>
        <w:t>- 14/15 - A/2236/2011</w:t>
      </w:r>
    </w:p>
    <w:p>
      <w:r>
        <w:t>Un émolument de CHF 1’000.- sera mis à la charge de la recourante qui succombe (art. 87 al. 1 LPA), celle-ci n’ayant pas établi que sa situation financière l’empêchait de s’en acquitter et n’ayant pas allégué avoir sollicité l’assistance juridique. Une indemnité de CHF 1’000.- sera allouée aux époux Dupuy, pris conjointement et solidairement, à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