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ATA/725/2013 vom 29. Oktober 2013</w:t>
      </w:r>
    </w:p>
    <w:p>
      <w:r>
        <w:t>GE Cour de justice, 2013-10-29, FR</w:t>
      </w:r>
    </w:p>
    <w:p>
      <w:r>
        <w:rPr>
          <w:b/>
        </w:rPr>
        <w:t xml:space="preserve">Quelle: </w:t>
      </w:r>
      <w:r>
        <w:t>https://mcp.opencaselaw.ch/entscheid/ge_gerichte_ATA_725_2013</w:t>
      </w:r>
    </w:p>
    <w:p>
      <w:r>
        <w:t>FR: GE_GERICHTE ATA/725/2013 du 29 octobre 2013</w:t>
      </w:r>
    </w:p>
    <w:p>
      <w:r>
        <w:t>IT: GE_GERICHTE ATA/725/2013 del 29 ottobre 2013</w:t>
      </w:r>
    </w:p>
    <w:p>
      <w:pPr>
        <w:pStyle w:val="Heading2"/>
      </w:pPr>
      <w:r>
        <w:t>Regeste</w:t>
      </w:r>
    </w:p>
    <w:p>
      <w:r>
        <w:t>Résumé: La demande d'autorisation de construire une piscine de 55m2 - excédant de 5m2 la limite maximale pour être reconnue comme une construction de peu d'importance et bénéficier des avantages procéduraux en découlant - ne pouvait être traitée par la voie de procédure accélérée; elle aurait dû suivre la procédure ordinaire. L'autorisation litigieuse est entachée d'une grave vice formel, entraînant la nullité de celle-ci. La cause est retournée au département afin qu'il instruise la demande d'autorisation ab initio selon la procédure ordinaire, la chambre administrative ne pouvant pas réformer elle-même l'autorisation octroyée par le département sans priver les parties d'un degré de juridiction.</w:t>
      </w:r>
    </w:p>
    <w:p>
      <w:pPr>
        <w:pStyle w:val="Heading2"/>
      </w:pPr>
      <w:r>
        <w:t>Erwägungen</w:t>
      </w:r>
    </w:p>
    <w:p>
      <w:r>
        <w:rPr>
          <w:b/>
        </w:rPr>
        <w:t>E. 12</w:t>
      </w:r>
    </w:p>
    <w:p>
      <w:r>
        <w:t>septembre 1985 (LPA - E 5 10),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w:t>
      </w:r>
    </w:p>
    <w:p>
      <w:r>
        <w:t>- 10/16 - A/2236/2011 ATA/307/2013 du 14 mai 2013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ATA/307/2013 du 14 mai 2013 ; ATA/192/2009 du 21 avril 2009 ; ATA/640/2005 du 27 septembre 2005).</w:t>
      </w:r>
    </w:p>
    <w:p>
      <w:r>
        <w:t>d. En l’espèce, la recourante – dont la parcelle est adjacente à celle des époux Dupuy – est touchée directement par la construction de la piscine sur la parcelle voisine et a un intérêt personnel digne de protection à l’admission de son recours. Le fait que la construction de la piscine ait déjà débuté n’y change rien. La qualité pour recourir doit lui être reconnue. Le recours est donc recevable. 2)</w:t>
      </w:r>
    </w:p>
    <w:p>
      <w:r>
        <w:t>La recourante sollicite l’apport de la procédure APA 36’962/1, relative à la construction d’une cabane de jardin de 10,37 m2 sur la parcelle de ses voisins.</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- 11/16 - A/2236/2011</w:t>
      </w:r>
    </w:p>
    <w:p>
      <w:r>
        <w:t>b. En l’espèce, la procédure APA 36’962/1 est étrangère au présent litige et son apport ne serait pas de nature à éclairer ce dernier. Le dossier étant complet, la chambre administrative dispose des éléments nécessaires pour statuer sans donner suite à la requête de la recourante. 3)</w:t>
      </w:r>
    </w:p>
    <w:p>
      <w:r>
        <w:t>Par arrêt du 30 avril 2013, le Tribunal fédéral a annulé l’arrêt de la chambre administrative du 30 octobre 2012 et a renvoyé la cause à cette dernière pour nouvelle décision dans le sens des considérants (Arrêt du Tribunal fédéral 1C_641/2012 du 30 avril 2013). 4)</w:t>
      </w:r>
    </w:p>
    <w:p>
      <w:r>
        <w:t>Le présent litige porte sur les conséquences de la procédure accélérée appliquée par le département pour délivrer l’autorisation de construire litigieuse (APA 34’293/3), à l’exclusion de toute autre procédure non concernée par le présent litige.</w:t>
      </w:r>
    </w:p>
    <w:p>
      <w:r>
        <w:t>a. Sur tout le territoire du canton nul ne peut, sans y avoir été autorisé, élever en tout ou partie une construction ou une installation (art. 1 al. 1 let. a de la loi sur les constructions et les installations diverses du 14 avril 1988 - LCI - L 5 05).</w:t>
      </w:r>
    </w:p>
    <w:p>
      <w:r>
        <w:t>L’art. 3 LCI décrit la procédure d’autorisation : toutes les demandes d’autorisation sont rendues publiques par une insertion dans la FAO (al. 1). Pendant un délai de trente jours à compter de la publication, chacun peut consulter les demandes d’autorisation et les plans au département et lui transmettre ses observations par une déclaration écrite (al. 2). Les demandes d’autorisation sont soumises, à titre consultatif, au préavis des communes, des départements et des organismes intéressés (al. 3). Les autorisations sont publiées dans la FAO. Il est fait mention, le cas échéant, des dérogations accordées. Les personnes qui ont fait des observations en sont informées par simple avis (al. 5).</w:t>
      </w:r>
    </w:p>
    <w:p>
      <w:r>
        <w:t>Aux termes de l’art. 3 al. 7 LCI, le département peut traiter par une procédure accélérée les demandes d’autorisation relatives à des travaux, soumis à l’art. 1, portant sur la modification intérieure d’un bâtiment existant ou ne modifiant pas l’aspect général de celui-ci. La procédure accélérée peut également être retenue pour des constructions nouvelles de peu d’importance ou provisoires. A titre exceptionnel, cette procédure peut enfin être adoptée pour des travaux de reconstruction présentant un caractère d’urgence.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w:t>
      </w:r>
    </w:p>
    <w:p>
      <w:r>
        <w:t>b. L’autorisation par procédure accélérée (APA) a été introduite par la modification législative du 18 décembre 1987. Jusqu’alors, toute demande d’autorisation de construire était soumise à la procédure prévue à l’art. 3 LCI,</w:t>
      </w:r>
    </w:p>
    <w:p>
      <w:r>
        <w:t>- 12/16 - A/2236/2011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(Mémorial des séances du Grand Conseil du 10 décembre 1987, pp. 6971 ss, notamment 6972, 6979).</w:t>
      </w:r>
    </w:p>
    <w:p>
      <w:r>
        <w:t>A l’occasion d’une révision de la LCI, le législateur s’est à nouveau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dès lors qu’elle ne figurait pas à l’art. 1 de la loi. Il était donc préférable de préciser que la procédure accélérée pouvait être utilisée pour des projets portant sur des travaux soumis à l’art. 1 précité, à condition qu’ils portent sur la modification intérieure d’un bâtiment ou ne modifie pas l’aspect général de celui-ci. L’APA devait également s’appliquer pour les constructions nouvelles de peu d’importance ou provisoires, voire également, à titre exceptionnel, pour des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 (Mémorial des séances du Grand Conseil du 18 septembre 1992, pp. 4657s). L’al. 6 - devenu entretemps l’al. 7 - a donc été modifié dans sa teneur actuelle (ATA/363/2012 du 12 juin 2012 consid. 5b ; ATA/599/2007 du 20 novembre 2007 consid. 3 ; ATA/303/2000 du 16 mai 2000 consid. 4).</w:t>
      </w:r>
    </w:p>
    <w:p>
      <w:r>
        <w:t>c. En l’espèce, le Tribunal fédéral a constaté de manière définitive que la piscine litigieuse, d’une surface de 55 m2, excédait de 5 m2 la limite maximale pour être reconnue comme une construction de peu d’importance et bénéficier des avantages en découlant, notamment au niveau procédural. La demande d’autorisation y relative ne pouvait donc pas être traitée par la voie de la procédure accélérée ; elle aurait dû suivre la procédure ordinaire. 5) a. La réparation d'un vice de procédure n'est en principe pas exclue; elle dépend toutefois de la gravité et de l'étendue de l'atteinte portée au droit d'être entendu et doit rester l'exception (ATF 126 I 68 consid. 2 p. 72 et les arrêts cités ; Arrêt du Tribunal fédéral 1P.594/2003 du 11 février 2004 consid. 3.4).</w:t>
      </w:r>
    </w:p>
    <w:p>
      <w:r>
        <w:t>b. Il est des cas où les vices affectant une décision sont si graves et si évidents qu'ils empêchent celle-ci d'avoir une existence - et donc des effets - quelconques.</w:t>
      </w:r>
    </w:p>
    <w:p>
      <w:r>
        <w:t>- 13/16 - A/2236/2011 La décision nulle est censée n'avoir jamais existé. L'écoulement des délais de recours non utilisés n'a aucun effet guérisseur. Elle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(ATA/107/2013 du 19 février 2013 consid. 7 ; ATA/773/2011 du 20 décembre 2011 consid. 2 et les références citées ; T. TANQUEREL, Manuel de droit administratif, 2011, n. 908 ss). Enfin, la nullité d'une décision peut être invoquée en tout temps, devant toute autorité ayant à connaître de cette décision (ATF 136 II 415 consid. 1.2 ; 132 II 342 consid. 2.1).</w:t>
      </w:r>
    </w:p>
    <w:p>
      <w:r>
        <w:t>c. De jurisprudence constante, le Tribunal administratif, devenu depuis le 1er janvier 2011 la chambre administrative, considère comme nulle une autorisation délivrée à la suite d'une procédure accélérée en lieu et place de la procédure ordinaire. La publication des demandes d'autorisation (art. 3 al. 1 LCI) compte au nombre des dispositions impératives de droit public (ATA W. du 4 septembre 1974 in RDAF 1975 p. 33 ss). Le fait que d'autres publications sont prévues par la loi ne saurait modifier la gravité des vices sans enlever aux prescriptions de droit public contenues dans la LCI leur caractère impératif. La procédure d'APA est de nature à empêcher toute opposition émanant des voisins, des tiers intéressés et des associations de sauvegarde du patrimoine. Même dans les cas où les intéressés se sont manifestés par la suite, ils ont perdu un degré de juridiction. Il est d'intérêt public de priver l'acte vicié de tout effet juridique en raison de l'importance qu'il y a de ne porter aucune atteinte aux garanties de propriété ou de voisinage (ATA/599/2007 du 20 novembre 2007 consid. 2 ; ATA/303/2000 du 16 mai 2000 consid. 5 et les références citées). L’application de la procédure accélérée au lieu de la procédure ordinaire constitue un vice particulièrement grave, de sorte qu’il s’agit d’un cas de nullité (ATA/303/2000 du</w:t>
      </w:r>
    </w:p>
    <w:p>
      <w:r>
        <w:rPr>
          <w:b/>
        </w:rPr>
        <w:t>E. 16</w:t>
      </w:r>
    </w:p>
    <w:p>
      <w:r>
        <w:t>mai 2000 consid. 5 et les références citées).</w:t>
      </w:r>
    </w:p>
    <w:p>
      <w:r>
        <w:t>d. En l’espèce, le Tribunal fédéral a constaté de manière définitive que la demande d’autorisation relative à la piscine litigieuse n’aurait pas dû être traitée par la voie de la procédure accélérée, mais par celle de la procédure ordinaire. Au vu de la jurisprudence précitée, il apparaît que l’autorisation APA 34’293/3 accordée aux époux Dupuy est entachée d’un grave vice formel, entraînant la nullité de celle-ci.</w:t>
      </w:r>
    </w:p>
    <w:p>
      <w:r>
        <w:t>- 14/16 - A/2236/2011</w:t>
      </w:r>
    </w:p>
    <w:p>
      <w:r>
        <w:t>En l’occurrence, la chambre administrative ne peut pas réformer elle-même l’autorisation octroyée aux époux Dupuy, dans la mesure où cela priverait les parties d’un degré de juridiction.</w:t>
      </w:r>
    </w:p>
    <w:p>
      <w:r>
        <w:t>Au vu de ce qui précède, la cause sera retournée au département afin que celui-ci instruise la demande d’autorisation ab initio selon la procédure ordinaire, indépendamment des travaux déjà entrepris par les époux Dupuy. Il appartiendra au département d’examiner si le projet respecte entre autres les prescriptions de la LCI et du RCI, notamment en matière de distance aux limites de propriété au sens de l’art. 69 LCI et si les conditions d’une dérogation à celle-ci sont remplies, au sens de l’art. 67 LCI.</w:t>
      </w:r>
    </w:p>
    <w:p>
      <w:r>
        <w:t>Cette solution est conforme à la jurisprudence ainsi qu’aux principes de la sécurité du droit et de la proportionnalité, dans la mesure où les parties auront la possibilité de s’exprimer dans le cadre de la procédure ordinaire qui sera diligentée par le département. 6)</w:t>
      </w:r>
    </w:p>
    <w:p>
      <w:r>
        <w:t>Bien que n’étant pas représentée par un avocat, la recourante sollicite une indemnité pour ses frais et dépens, s’élevant au total à CHF 9'464.-. Elle explique avoir consacré environ 150 heures en deux ans à la présente procédure, rédigé cinquante lettres, effectué cent trente-trois téléphones et vingt-neuf déplacements, et consulté un avocat, lequel lui a facturé CHF 972.- d’honoraires.</w:t>
      </w:r>
    </w:p>
    <w:p>
      <w:r>
        <w:t>a.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(art. 87 al. 2 LPA).</w:t>
      </w:r>
    </w:p>
    <w:p>
      <w:r>
        <w:t>b. La juridiction administrative statue sur les frais de procédure, indemnités et émoluments dans les limites établies par règlement du Conseil d'Etat et conformément au principe de la proportionnalité (art. 87 al. 1 et 3 LPA ; ATA/576/2013 du 29 août 2013 ; ATA/581/2009 du 10 novembre 2009 et les références citées).</w:t>
      </w:r>
    </w:p>
    <w:p>
      <w:r>
        <w:t>c.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d. Selon la jurisprudence du Tribunal fédéral et de la juridiction de céans, les décisions des tribunaux en matière de dépens n’ont pas à être motivées, l’autorité restant néanmoins liée par le principe général de l’interdiction de l’arbitraire (ATF 114 Ia 332 consid. 213 p. 334; 111 1a 1 ; 111 V 48 consid. 4a; Arrêts du Tribunal fédéral 6B_245/2011 du 7 juillet 2011 consid. 2.2 ; 5D_2010 du</w:t>
      </w:r>
    </w:p>
    <w:p>
      <w:r>
        <w:t>- 15/16 - A/2236/2011 28 février 2011 consid. 4.1 ; 5A_502/2008 du 4 mars 2009 consid. 4.1 ; ATA/576/2013 du 29 août 2013 ; ATA/544/2010 du 4 août 2010 consid. 3 ; ATA/430/2010 du 22 juin 2010 et les références citées).</w:t>
      </w:r>
    </w:p>
    <w:p>
      <w:r>
        <w:t>e. La juridiction saisie dispose d’un large pouvoir d’appréciation également quant à la quotité de l’indemnité allouée et, de jurisprudence constante, celle-ci ne constitue qu'une participation aux honoraires d’avocat (ATA/576/2013 du 29 août 2013 et les références citées), ce qui résulte aussi, implicitement, de l'art. 6 RFPA dès lors que ce dernier plafonne l'indemnité à CHF 10'000.-. Enfin, la garantie de la propriété (art. 26 Cst.) n’impose nullement une pleine compensation du coût de la défense de la partie victorieuse (Arrêt du Tribunal fédéral 2C_152/2010 du 24 août 2010).</w:t>
      </w:r>
    </w:p>
    <w:p>
      <w:r>
        <w:t>f. En l’espèce, la recourante n’est pas formellement représentée par un avocat, même si elle en a consulté un. Elle ne saurait se voir allouer l’intégralité de la somme réclamée, à savoir CHF 9'464.-. Seul le montant de CHF 972.-, correspondant aux honoraires de l’avocat consulté par la recourante, est justifié par pièce. Vu l’issue du litige, une indemnité de CHF 1'000.- sera allouée à Mme Szokoloczy-Grobet, à la charge de l’Etat de Genève. Aucun émolument ne sera perçu.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