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ATA/724/2015 vom 14. Juli 2015</w:t>
      </w:r>
    </w:p>
    <w:p>
      <w:r>
        <w:t>GE Cour de justice, 2015-07-14, FR</w:t>
      </w:r>
    </w:p>
    <w:p>
      <w:r>
        <w:rPr>
          <w:b/>
        </w:rPr>
        <w:t xml:space="preserve">Quelle: </w:t>
      </w:r>
      <w:r>
        <w:t>https://mcp.opencaselaw.ch/entscheid/ge_gerichte_ATA_724_2015</w:t>
      </w:r>
    </w:p>
    <w:p>
      <w:r>
        <w:t>FR: GE_GERICHTE ATA/724/2015 du 14 juillet 2015</w:t>
      </w:r>
    </w:p>
    <w:p>
      <w:r>
        <w:t>IT: GE_GERICHTE ATA/724/2015 del 14 luglio 2015</w:t>
      </w:r>
    </w:p>
    <w:p>
      <w:pPr>
        <w:pStyle w:val="Heading2"/>
      </w:pPr>
      <w:r>
        <w:t>Regeste</w:t>
      </w:r>
    </w:p>
    <w:p>
      <w:r>
        <w:t>Résumé: Le recourant est associé-gérant de deux sociétés soeurs et détenteur de la moitié du capital-actions desdites sociétés. Pour faire face à difficultés financières rencontrées par l'une des sociétés, l'autre lui a mis à disposition des fonds. Aucun contrat de prêt n'a été conclu entre les deux sociétés et aucun plan de remboursement n'a été prévu, il s'agit dès lors d'un prêt simulé. En application de la théorie du triangle, c'est à l'actionnaire, soit au recourant, que doit être imputé cet avantage appréciable en argent, de sorte que la procédure en rappel d'impôt et soustraction à l'encontre des recourants est fondée. La quotité de l'amende réduite par le TAPI est confirmée. Recours rejeté.</w:t>
      </w:r>
    </w:p>
    <w:p>
      <w:pPr>
        <w:pStyle w:val="Heading2"/>
      </w:pPr>
      <w:r>
        <w:t>Erwägungen</w:t>
      </w:r>
    </w:p>
    <w:p>
      <w:r>
        <w:rPr>
          <w:b/>
        </w:rPr>
        <w:t>E. 26</w:t>
      </w:r>
    </w:p>
    <w:p>
      <w:r>
        <w:t>août 2014 consid. 3c).</w:t>
      </w:r>
    </w:p>
    <w:p>
      <w:r>
        <w:t>d. Selon les art. 20 al. 1 let. c LIFD et 22 al. 1 let. c LIPP, est imposable le rendement de la fortune mobilière, en particulier les dividendes, les parts de bénéfice, les excédents de liquidation et tous genre (y compris les actions gratuites, les augmentations gratuites de la valeur nominale, etc.).</w:t>
      </w:r>
    </w:p>
    <w:p>
      <w:r>
        <w:t>- 13/23 - A/3617/2013</w:t>
      </w:r>
    </w:p>
    <w:p>
      <w:r>
        <w:t>e.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 ATA/594/2015 du 9 juin 2015 consid. 6b).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 h, une disposition équivalente à l’art. 58 al. 1 let. b LIFD (ATA/594/2015 précité consid. 6b).</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w:t>
      </w:r>
    </w:p>
    <w:p>
      <w:r>
        <w:t>f.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w:t>
      </w:r>
    </w:p>
    <w:p>
      <w:r>
        <w:t>- 14/23 - A/3617/2013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ad art. 20 n. 96). Dans les cas de prestations appréciables en argent entre sociétés sœurs, l’avantage passe immédiatement d’une société à l’autre. Entre de telles sociétés, des attributions fondées sur un rapport de participation commun constituent en particulier des prestations appréciables en argent pour l’actionnaire. Le détenteur de parts doit ainsi être aussi imposé sur les attributions de la société versées en faveur d’une autre société dominée par lui lorsqu’une justification commerciale d’un tel procédé fait totalement défaut (ATF 138 II 57 consid. 4.2 ; ATA/594/2015 précité consid. 6c).</w:t>
      </w:r>
    </w:p>
    <w:p>
      <w:r>
        <w:t>g.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ATA/594/2015 précité consid. 6d ; ATA/780/2013 du 26 novembre 2013 consid. 6a). 5) a. En l'espèce, il ressort du dossier que le contribuable était associé-gérant de B______ et de D______, et qu'il détenait la moitié du capital-social des deux sociétés précitées pendant l'année fiscale 2010.</w:t>
      </w:r>
    </w:p>
    <w:p>
      <w:r>
        <w:t>Au cours de cette année fiscale-là, B______ a accordé un avantage à D______, en ce sens qu'elle a mis à sa disposition des fonds (CHF 244'347.40) pour qu'elle puisse honorer un certain nombre de factures en souffrance, ce que les recourants ne contestent pas. Or, B______ n'a pas pour but statutaire de mettre à disposition des fonds. Par ailleurs, aucun contrat ayant pour objet cette mise à disposition n'a été conclu entre ces deux sociétés, de même qu'aucun plan de remboursement n'a été prévu. De plus, le montant précité dépassait le résultat de l'exercice commercial de D______ (perte de CHF 227'656.97) pour cette année-là, ce qui permettait d'émettre des doutes quant aux possibilités de remboursement de l'emprunteur, doutes confirmés par la signature d'une convention de postposition le 14 juin 2011 et par la mise en faillite de D______ le 9 août 2012. En outre, les</w:t>
      </w:r>
    </w:p>
    <w:p>
      <w:r>
        <w:t>- 15/23 - A/3617/2013 recourants n'ont pas démontré que D______ était une société d'apporteur d'affaires pour B______. Au demeurant et si tel avait été le cas, on ne saisit pas quel était l'intérêt de procéder de la sorte, dans la mesure où le recourant, vu sa position, était au fait des affaires des deux sociétés. Enfin, B______ n'a reçu pour cela, et à teneur du dossier, aucune contre-prestation</w:t>
      </w:r>
    </w:p>
    <w:p>
      <w:r>
        <w:t>Ces éléments, pris dans leur ensemble, permettent de retenir que cet avantage ne repose sur aucune justification commerciale, et n'aurait pas été accordé à de telles conditions à un tiers placé dans les mêmes circonstances que D______. La mise à disposition de ces fonds par B______ en faveur de D______ constitue dès lors, en application de la doctrine et de la jurisprudence précitées, un avantage appréciable en argent.</w:t>
      </w:r>
    </w:p>
    <w:p>
      <w:r>
        <w:t>Conformément à la théorie du triangle, et au vu de la doctrine et de la jurisprudence précitées, cet avantage appréciable en argent doit être intégré dans le revenu de l'actionnaire de D______, soit dans le revenu du recourant, comme l'ont retenu à juste titre l'AFC-GE et le TAPI.</w:t>
      </w:r>
    </w:p>
    <w:p>
      <w:r>
        <w:t>Certes, cet avantage n'a pas permis à D______ de se redresser, toutefois, force est de constater que ces fonds ont enrichi D______, en 2010, puisque cette dernière a pu utiliser ces moyens pour régler ses factures en souffrance. On ne saurait dès lors suivre les recourants lorsqu'ils soutiennent que, dans le cas d'espèce, il n'y a pas eu d'enrichissement ; enrichissement qui par une application de la théorie du triangle a profité directement au recourant.</w:t>
      </w:r>
    </w:p>
    <w:p>
      <w:r>
        <w:t>Enfin, bien qu'il soit regrettable que la situation financière et personnelle des recourants ait eu à pâtir des difficultés des sociétés, cela ne saurait modifier en rien la conclusion telle que présentée ci-dessus.</w:t>
      </w:r>
    </w:p>
    <w:p>
      <w:r>
        <w:t>Le grief sera écarté.</w:t>
      </w:r>
    </w:p>
    <w:p>
      <w:r>
        <w:t>b. Subsidiairement, les recourants soutiennent que c'est la différence entre le montant pour le poste figurant au bilan 2009 (CHF 105'433.28) et le montant de CHF 244'347.- inscrit aux comptes 2010, soit un montant de CHF 138'914.-, qui devrait être prise en considération au titre d'avantage appréciable en argent.</w:t>
      </w:r>
    </w:p>
    <w:p>
      <w:r>
        <w:t>Selon la jurisprudence fédérale, en présence d'un prêt simulé ultérieurement, il n'est possible de s'en prendre fiscalement aux détenteurs des droits de participation que si la simulation ressort clairement d'indices. Si les indices ne sont pas suffisants, il y a lieu d'attendre jusqu'à ce qu'ils aient pris une densité telle qu'ils constituent une preuve manifeste (arrêt du Tribunal fédéral 2C_461/2008 du 23 décembre 2008 consid. 2.2 in RDAF II p. 485-486).</w:t>
      </w:r>
    </w:p>
    <w:p>
      <w:r>
        <w:t>En l'occurrence, ce n'est qu'à la réception du courrier de B______ du 27 mars 2012 relatif à sa taxation 2010 et précisant que la provision pour perte sur créance de CHF 225'000.- servait à couvrir le risque de perte lié « C/c D______ »</w:t>
      </w:r>
    </w:p>
    <w:p>
      <w:r>
        <w:t>- 16/23 - A/3617/2013 de CHF 244'347.40 que l'AFC-GE a eu les indices suffisants pour conclure que l'avantage appréciable en argent accordé par B______ à D______ constituait un prêt simulé.</w:t>
      </w:r>
    </w:p>
    <w:p>
      <w:r>
        <w:t>En conséquence, c'est également à juste titre que l'AFC-GE a intégré un montant de CHF 122'175.- (recte : CHF 122'174.-), au vu de l'actionnariat du recourant dans D______ (50 % de CHF 244'347.40), dans le revenu du recourant.</w:t>
      </w:r>
    </w:p>
    <w:p>
      <w:r>
        <w:t>Le grief sera écarté. 6) a. Selon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d'impôt qui n'a pas été perçu, y compris les intérêts. L'art. 59 al. 1 de la loi de procédure fiscale du 4 octobre 2001 (LPFisc - D 3 17) a la même teneur que l'art. 151 al. 1 LIFD.</w:t>
      </w:r>
    </w:p>
    <w:p>
      <w:r>
        <w:t>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w:t>
      </w:r>
    </w:p>
    <w:p>
      <w:r>
        <w:t>b. Le rappel d’impôt est le pendant, en faveur du fisc, de la procédure de révision (message du Conseil fédéral sur l’harmonisation fiscale, p. 144). Le rappel d’impôt constitue la perception après coup d’impôts qui n’ont, à tort, pas été perçus dans le cadre de la procédure de taxation (ATF 121 II 257 consid. 4b p. 265 ; arrêt du Tribunal fédéral 2C_104/2008 du 20 juin 2008 consid. 3.3 ; ATA/233/2015 du 3 mars 2015 consid. 6 ; ATA/167/2012 du 27 mars 2012 ; Xavier OBERSON, op. cit., p. 486 ss n. 7 ss ; Hugo CASANOVA in Danielle YERSIN/Yves NOËL [éd.], op. cit., ad art. 151 n. 1 ss). L’entrée en vigueur de la LIFD et de la de la loi fédérale sur l’harmonisation des impôts directs des cantons et des communes du 14 décembre 1990 (LHID - RS 642.14) a désormais clairement consacré cette conception, en ouvrant le rappel d’impôt, sans que le contribuable concerné ait nécessairement commis de faute (art. 151 LIFD ; art. 53 LHID). Le rappel d’impôt est une procédure purement fiscale qui ne constitue pas une accusation en matière pénale au sens de l’art. 6 de la Convention de sauvegarde des droits de l’homme et des libertés fondamentales du 4 novembre 1950 (CEDH - RS 0.101) (ATF 121 II 257, Xavier OBERSON, op. cit., p. 560 n. 7).</w:t>
      </w:r>
    </w:p>
    <w:p>
      <w:r>
        <w:t>Il n’est soumis qu’à des conditions objectives : il suppose qu’une taxation n’a pas été établie ou est restée incomplète à tort, de sorte que la collectivité</w:t>
      </w:r>
    </w:p>
    <w:p>
      <w:r>
        <w:t>- 17/23 - A/3617/2013 publique a subi une perte fiscale (Hugo CASANOVA, in Danielle YERSIN/Yves NOËL [éd.], op. cit., ad art. 151 n. 5 ss).</w:t>
      </w:r>
    </w:p>
    <w:p>
      <w:r>
        <w:t>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Hugo CASANOVA, Le rappel d’impôt, RDAF 1999 II, p. 11). Le droit au rappel d’impôt, que ce soit en vertu de l’art. 151 al. 1 LIFD, de l’art. 53 al. 1 LHID ou de l'art. 59 al. 1 LPFisc,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Hugo CASANOVA, Le rappel d’impôt, op. cit., p. 11 ; Hugo CASANOVA, in Danielle YERSIN/Yves NOËL [éd.], op. cit., ad art. 151 n. 8 ss ; ATA/233/2015 consid. 6 ; ATA/724/2012 du</w:t>
      </w:r>
    </w:p>
    <w:p>
      <w:r>
        <w:rPr>
          <w:b/>
        </w:rPr>
        <w:t>E. 30</w:t>
      </w:r>
    </w:p>
    <w:p>
      <w:r>
        <w:t>octobre 2012). Il n'existe pas non plus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Hugo CASANOVA, in Danielle YERSIN/Yves NOËL [éd.], op. cit., ad art. 151 n. 11). La chambre de céans a déjà jugé que l’AFC-GE ne commettait pas de négligence grave en ne confrontant pas des déclarations remplies par des sociétés, traitées par le service des personnes morales et celle remplie par un contribuable, personne physique (ATA/369/2015 du 21 avril 2015 consid. 3b ; ATA/517/2014 du 1er juillet 2014 ; ATA/724/2012 du 30 octobre 2012).</w:t>
      </w:r>
    </w:p>
    <w:p>
      <w:r>
        <w:t>Il n'est pas nécessaire que le contribuable ait commis une faute (arrêts du Tribunal fédéral 2C_104/2008 du 20 juin 2008 consid. 3.3 ; 2A.300/2006 du 27 février 2007 consid. 3.3 et les références citées in RF 62/2007 p. 369). Le contribuable doit, pour sa part, remplir la formule de déclaration d'impôt de manière conforme à la vérité et complète (art. 124 al. 2 LIFD) et y joindre les annexes, notamment l'état complet des dettes (art. 125 al. 1 let. c LIFD ; arrêt du Tribunal fédéral 2C_835/2012 du 1er avril 2013 consid. 7.2.3). Lorsque le contribuable se heurte à une incertitude quant à un élément de fait, il ne doit pas la dissimuler, mais bien la signaler dans sa déclaration. Dans tous les cas, il doit décrire les faits de manière complète et objective (arrêt du Tribunal fédéral</w:t>
      </w:r>
    </w:p>
    <w:p>
      <w:r>
        <w:t>- 18/23 - A/3617/2013 2C_879/2008 du 20 avril 2009 consid. 5.1 et les arrêts cités in RDAF 2009 II 386 ; ATA/233/2015 précité consid. 6).</w:t>
      </w:r>
    </w:p>
    <w:p>
      <w:r>
        <w:t>Un rappel d’impôts peut se justifier parce que le contribuable a invoqué des éléments contradictoires dans deux procédures différentes (RF 2006, 312 cité par Hugo CASANOVA, in Danielle YERSIN/Yves NOËL [éd.], op. cit., ad art. 151 n. 12).</w:t>
      </w:r>
    </w:p>
    <w:p>
      <w:r>
        <w:t>c. En l'espèce, dans la mesure où le recourant a bénéficié d'un avantage appréciable en argent en 2010 qui n'avait pas été imposé au moment de la notification de ses bordereaux ICC et IFD 2010 des 6 février 2012, c'est conformément au droit que l'AFC-GE a ouvert une procédure en rappel d'impôt et soustraction pour l'année 2010 à l'encontre des recourants. À ce stade la problématique de la faute n'est pas pertinente, conformément à la jurisprudence précitée. 7)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w:t>
      </w:r>
    </w:p>
    <w:p>
      <w:r>
        <w:t>b. Selon la jurisprudence constante, l’autorité doit faire preuve de sévérité afin d’assurer le respect de la loi et jouit d’un large pouvoir d’appréciation pour infliger une amende et en fixer le montant. L’autorité de recours ne censure que l’abus du pouvoir d’appréciation (ATA/370/2015 du 21 avril 2015 consid. 3b ; ATA/1/2015 du 6 janvier 2015 ; ATA/975/2014 du 9 décembre 2014 et les références citées).</w:t>
      </w:r>
    </w:p>
    <w:p>
      <w:r>
        <w:t>c. Les art. 56 al. 1 LHID, applicable dès le 1er janvier 2001 (ATA/975/2014 du 9 décembre 2014 ; ATA/57/2014 du 4 février 2014)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8) a.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w:t>
      </w:r>
    </w:p>
    <w:p>
      <w:r>
        <w:t>- 19/23 - A/3617/2013 élément constitutif subjectif (Pietro SANSONETTI in Danielle YERSIN/Yves NOËL, op. cit., ad art. 175 p. 1495 ss ; Xavier OBERSON, op. cit., p. 586 ss).</w:t>
      </w:r>
    </w:p>
    <w:p>
      <w:r>
        <w:t>En l'occurrence et comme il a été démontré, le recourant a bénéficié d'un avantage appréciable en argent en 2010 non déclaré au moment de la remise par les recourants de leur déclaration fiscale 2010. Ce faisant, les recourants ont violé leur obligation légale de remplir leur déclaration fiscale de manière complète et conforme à la vérité.</w:t>
      </w:r>
    </w:p>
    <w:p>
      <w:r>
        <w:t>Les deux premières conditions objectives d'une soustraction fiscale sont ainsi réalisées.</w:t>
      </w:r>
    </w:p>
    <w:p>
      <w:r>
        <w:t>b. La soustraction est punissable aussi bien lorsqu'elle est commise intentionnellement que lorsqu'elle l'est par négligence (ATA/370/2015 précité consid. 5a ; ATA/975/2014 du 9 décembre 2014).</w:t>
      </w:r>
    </w:p>
    <w:p>
      <w:r>
        <w:t>c.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d.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w:t>
      </w:r>
    </w:p>
    <w:p>
      <w:r>
        <w:t>- 20/23 - A/3617/2013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in Robert ROTH/Laurent MOREILLON [éd.], op. cit., ad art. 12 n. 76 ss). L’intention est avant tout une question de fait : le juge doit rechercher ce qui se passait dans l’esprit de l’auteur, c’est-à-dire ce qu’il savait, ce qu’il voulait ou l’éventualité à laquelle il consentait (Bernard CORBOZ, in Robert ROTH/Laurent MOREILLON [éd.], op. cit., ad art. 12 n. 85).</w:t>
      </w:r>
    </w:p>
    <w:p>
      <w:r>
        <w:t>e.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w:t>
      </w:r>
    </w:p>
    <w:p>
      <w:r>
        <w:t>f.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in Danielle YERSIN/Yves NOËL [éd.], op. cit., p. 1500 ss).</w:t>
      </w:r>
    </w:p>
    <w:p>
      <w:r>
        <w:t>g. La négligence implique quant à elle de porter un jugement sur le comportement de l’auteur en se demandant ce qu’il aurait pu et dû faire, et non de</w:t>
      </w:r>
    </w:p>
    <w:p>
      <w:r>
        <w:t>- 21/23 - A/3617/2013 rechercher ce que l’auteur avait à l’esprit (Bernard CORBOZ, in Robert ROTH/Laurent MOREILLON [éd.], ad art. 12 n. 85).</w:t>
      </w:r>
    </w:p>
    <w:p>
      <w:r>
        <w:t>h. Selon la jurisprudence fédérale, les actes du représentant sont opposables au représenté comme les siens propres ; ce principe vaut également en droit public (arrêt du Tribunal fédéral 2C_280/2013 du 6 avril 2013).</w:t>
      </w:r>
    </w:p>
    <w:p>
      <w:r>
        <w:t>La responsabilité du mandant ne saurait être dissociée de celle de son mandataire. En effet, le premier est responsable des actes de celui qui le représente et répond de toute faute de ses auxiliaires (ATA/370/2015 précité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op. cit.,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(ATA/370/2015 précité consid. 6c ; ATA/798/2014 du 14 octobre 2014 ; Pietro SANSONETTI, in Danielle YERSIN/Yves NOËL [éd.], op. cit., p. 1500).</w:t>
      </w:r>
    </w:p>
    <w:p>
      <w:r>
        <w:t>i. En l'espèce, l'AFC-GE a retenu que le recourant avait été négligent, soulignant sa bonne collaboration.</w:t>
      </w:r>
    </w:p>
    <w:p>
      <w:r>
        <w:t>Elle a fixé la quotité des amendes ICC et IFD aux trois quart des impôts soustraits. Le TAPI a réduit cette quotité à la moitié du montant de l’impôt soustrait, compte tenu du fait que ce sont des raisons économiques, et non pas fiscales, qui avaient motivé le recourant à effectuer l'opération reprochée. La difficulté de compréhension de la théorie du triangle était également retenue pour fixer cette quotité.</w:t>
      </w:r>
    </w:p>
    <w:p>
      <w:r>
        <w:t>La quotité fixée à la moitié de l’impôt soustrait, dont le montant s’élève à CHF 19'944.15 pour l'ICC et à CHF 9'427.- pour l'IFD, apparaît proportionnée à la négligence commise par le recourant et aux circonstances du cas d'espèce. Elle tient également et suffisamment compte de la bonne collaboration de l'intéressé et de la situation personnelle actuelle des recourants, certes peu documentée. Réduire la quotité de l’amende au minimum légal incompressible, soit au tiers de</w:t>
      </w:r>
    </w:p>
    <w:p>
      <w:r>
        <w:t>- 22/23 - A/3617/2013 l'impôt éludé, serait peu dissuasif et ne tiendrait pas suffisamment compte du fait que le recourant avait tout de même une certaine expérience en matière de gestion de sociétés.</w:t>
      </w:r>
    </w:p>
    <w:p>
      <w:r>
        <w:t>La quotité fixée à la moitié de l’impôt soustrait sera ainsi confirmée. 9)</w:t>
      </w:r>
    </w:p>
    <w:p>
      <w:r>
        <w:t>Au vu de ce qui précède, le recours sera rejeté. 10) Un émolument de CHF 1’000.- sera mis à la charge des recourants, pris conjointement et solidairement,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