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ATA/723/2020 vom 4. August 2020</w:t>
      </w:r>
    </w:p>
    <w:p>
      <w:r>
        <w:t>GE Cour de justice, 2020-08-04, FR</w:t>
      </w:r>
    </w:p>
    <w:p>
      <w:r>
        <w:rPr>
          <w:b/>
        </w:rPr>
        <w:t xml:space="preserve">Quelle: </w:t>
      </w:r>
      <w:r>
        <w:t>https://mcp.opencaselaw.ch/entscheid/ge_gerichte_ATA_723_2020</w:t>
      </w:r>
    </w:p>
    <w:p>
      <w:r>
        <w:t>FR: GE_GERICHTE ATA/723/2020 du 4 août 2020</w:t>
      </w:r>
    </w:p>
    <w:p>
      <w:r>
        <w:t>IT: GE_GERICHTE ATA/723/2020 del 4 agosto 2020</w:t>
      </w:r>
    </w:p>
    <w:p>
      <w:pPr>
        <w:pStyle w:val="Heading2"/>
      </w:pPr>
      <w:r>
        <w:t>Regeste</w:t>
      </w:r>
    </w:p>
    <w:p>
      <w:r>
        <w:t>Résumé: Agrandissement et rénovation d'une maison de campagne en zone agricole. Les enquêtes menées par le TAPI ont permis de démontrer que les propriétaires successifs de la maison n'y vivaient pas à l'année. En outre, au vu des travaux projetés et de leurs coûts, l'état postérieur aux travaux ne serait à aucun égard « le même » qu'avant. Les travaux de transformation envisagés entraînent une modification importante de l'utilisation de la maison. Ils ne respectent ainsi pas l'identité de la construction et ne peuvent donc pas être autorisés en vertu de la loi. Recours admis.</w:t>
      </w:r>
    </w:p>
    <w:p>
      <w:pPr>
        <w:pStyle w:val="Heading2"/>
      </w:pPr>
      <w:r>
        <w:t>Erwägungen</w:t>
      </w:r>
    </w:p>
    <w:p>
      <w:r>
        <w:rPr>
          <w:b/>
        </w:rPr>
        <w:t>E. 12</w:t>
      </w:r>
    </w:p>
    <w:p>
      <w:r>
        <w:t>septembre 1985 - LPA - E 5 10 ; art. 149 de la loi sur les constructions et les installations diverses du 14 avril 1988 - LCI - L 5 05). 2)</w:t>
      </w:r>
    </w:p>
    <w:p>
      <w:r>
        <w:t>Il n'est pas contesté que le projet litigieux consistant en la rénovation et l'agrandissement d'une maison de campagne sise en zone agricole n'est pas conforme à l'affectation de ladite zone et ne peut être autorisé en vertu de l'art. 22 LAT.</w:t>
      </w:r>
    </w:p>
    <w:p>
      <w:r>
        <w:t>L'objet du litige porte donc sur la question de savoir si les travaux litigieux remplissent les conditions posées par les art. 24c LAT et art. 42 OAT pour être autorisés à titre dérogatoire (art. 27C de la loi d'application de la loi fédérale sur l'aménagement du territoire du 4 juin 1987 - LaLAT - L 1 30). 3)</w:t>
      </w:r>
    </w:p>
    <w:p>
      <w:r>
        <w:t>La recourante soutient que le TAPI ne pouvait pas retenir que la fréquence d'utilisation du chalet ne pouvait pas être établie, puisque les enquêtes avaient démontré que ses propriétaires successifs n'y avaient jamais habité de manière permanente et continue. En outre, il était arbitraire de retenir qu'un séjour d'une semaine à plusieurs personnes y était non seulement possible, mais relativement fréquent, même en hiver.</w:t>
      </w:r>
    </w:p>
    <w:p>
      <w:r>
        <w:t>Par ailleurs, le TAPI ne pouvait pas retenir que les travaux envisagés n'avaient pas pour but de rendre le chalet habitable au vu de leur ampleur et de leur coût.</w:t>
      </w:r>
    </w:p>
    <w:p>
      <w:r>
        <w:t>- 17/24 - A/3107/2016 4)</w:t>
      </w:r>
    </w:p>
    <w:p>
      <w:r>
        <w:t>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5) a. Selon l'art. 24c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 (al. 3). Les modifications apportées à l'aspect extérieur du bâtiment doivent être nécessaires à un usage d'habitation répondant aux normes usuelles ou à un assainissement énergétique ou encore viser à une meilleure intégration dans le paysage (al. 4). Dans tous les cas, les exigences majeures de l'aménagement du territoire doivent être remplies (al. 5).</w:t>
      </w:r>
    </w:p>
    <w:p>
      <w:r>
        <w:t>b. L'art. 42 OAT prévoit qu'une transformation est considérée comme partielle et un agrandissement est considéré comme mesuré lorsque l’identité de la construction ou de l’installation et de ses abords est respectée pour l’essentiel. Sont admises les améliorations de nature esthétique (al. 1). Le moment déterminant pour l’appréciation du respect de l’identité est l’état de la construction ou de l’installation au moment de l’attribution du bien-fonds à un territoire non constructible (al. 2).</w:t>
      </w:r>
    </w:p>
    <w:p>
      <w:r>
        <w:t>L'al. 3 de cet article précise que la question de savoir si l’identité de la construction ou de l’installation est respectée pour l’essentiel est à examiner en fonction de l’ensemble des circonstances. Les règles suivantes doivent en tout cas être respectées :</w:t>
      </w:r>
    </w:p>
    <w:p>
      <w:r>
        <w:t>- à l’intérieur du volume bâti existant, la surface brute de plancher imputable ne peut pas être agrandie de plus de 60 %, la pose d’une isolation extérieure étant considérée comme un agrandissement à l’intérieur du volume bâti existant (let. a) ;</w:t>
      </w:r>
    </w:p>
    <w:p>
      <w:r>
        <w:t>- un agrandissement peut être réalisé à l’extérieur du volume bâti existant si les conditions de l’art. 24c al. 4 LAT sont remplies; l’agrandissement total ne peut alors excéder ni 30 % ni 100 m2, qu’il s’agisse de la surface brute de plancher imputable ou de la surface totale (somme de la surface brute de plancher</w:t>
      </w:r>
    </w:p>
    <w:p>
      <w:r>
        <w:t>- 18/24 - A/3107/2016 imputable et des surfaces brutes annexes); les agrandissements effectués à l’intérieur du volume bâti existant ne comptent que pour moitié (let. b) ;</w:t>
      </w:r>
    </w:p>
    <w:p>
      <w:r>
        <w:t>- les travaux de transformation ne doivent pas permettre une modification importante de l’utilisation de bâtiments habités initialement de manière temporaire (let. c).</w:t>
      </w:r>
    </w:p>
    <w:p>
      <w:r>
        <w:t>La date déterminante est celle du 1er juillet 1972, soit la date de l'entrée en vigueur de la loi fédérale du 8 octobre 1971 sur la protection des eaux contre la pollution (LFPE - RS 814.20, abrogée depuis le 1er novembre 1992), qui a introduit le principe de la séparation du territoire bâti du territoire non bâti (ATF 129 II 396 consid. 4.2.1 p. 398 ; arrêt du Tribunal fédéral 1C_660/2012 consid. 4.2).</w:t>
      </w:r>
    </w:p>
    <w:p>
      <w:r>
        <w:t>c. Selon la doctrine, la volonté du législateur était, par l'adoption de ces dispositions, que les constructions existantes contraires à l'affectation de la zone puissent faire l'objet de certaines modifications allant au-delà de la garantie de la situation acquise conférée par le droit constitutionnel, pour empêcher que ces constructions, en principe soumises à l'interdiction de bâtir, ne tombent petit à petit en ruine. Le principe constitutionnel de séparation entre les parties constructibles et non constructibles du territoire impose de n'admettre que les transformations nécessaires à la conservation des constructions à long terme et à leur adaptation à l'évolution des besoins. Les constructions bénéficiant de la garantie de la situation acquise doivent pour l'essentiel, rester identiques, les modifications apportées à leur aspect extérieur étant soumises à des limites strictes (Rudolf MUGGLI, Commentaire pratique LAT : Construire hors zone à bâtir, 2017, ad. art. 24c LAT n. 7 et 10).</w:t>
      </w:r>
    </w:p>
    <w:p>
      <w:r>
        <w:t>Une transformation partielle et un agrandissement mesuré sont admissibles dans la mesure où l'identité de la construction ou de l'installation et des abords sur lesquels le requérant est susceptible d'influer, est pour l'essentiel respectée (art. 42 al. 1 OAT ; Rudolf MUGGLI, op. cit., ad. art. 24c LAT n. 24).</w:t>
      </w:r>
    </w:p>
    <w:p>
      <w:r>
        <w:t>La question de savoir si l'identité de la construction ou de l'installation est respectée pour l'essentiel doit être examinée en fonction de l'ensemble des circonstances (art. 42 al. 3 OAT). Elle ne dépend pas d'un élément particulier. L'examen global requis devra notamment prendre en compte l'aspect extérieur de la construction, la nature et l'intensité de son utilisation, le nombre de logements qu'elle comporte, son équipement, sa vocation économique, les incidences de sa transformation sur l'organisation du territoire et l'environnement, ainsi que le coût des travaux, qui reflète en effet souvent l'ampleur de l'intervention. La démolition d'une petite ferme et son remplacement par une maison de vacances moderne ne respecterait pas l'identité de la construction, car l'état postérieur aux travaux ne serait à aucun égard « le même » qu'avant. La pose de capteurs solaires sur le toit d'un hangar à bateaux peut en revanche tout à fait préserver l'identité de la</w:t>
      </w:r>
    </w:p>
    <w:p>
      <w:r>
        <w:t>- 19/24 - A/3107/2016 construction. La notion d'identité, qui définit la mesure de ce qui est admissible, montre que la notion d'agrandissement mesuré est incluse dans celle de transformation partielle : les modifications apportées peuvent consister aussi bien en transformations intérieures qu'en extensions extérieures ou en changement d'affectation (Rudolf MUGGLI, op. cit., ad. art. 24c LAT n. 28).</w:t>
      </w:r>
    </w:p>
    <w:p>
      <w:r>
        <w:t>À propos de l'art. 42 al. 3 let. c OAT, la doctrine indique encore que dans le cas des bâtiments qui n'étaient habités que temporairement au 1er juillet 1972, le législateur a prévu des restrictions supplémentaires, car il ne souhaitait pas, compte tenu de l'élargissement déjà considérable du champ d'application matériel de l'art. 24c LAT, exposer ces constructions (bâtiments d'alpage et autres), à des modifications autres que minimes. Aussi les travaux projetés ne doivent-ils pas permettre une modification importante de leur utilisation. Ce qu'il faut entendre par là ne ressort pas clairement du libellé de l'ordonnance, car l'art. 24c LAT permet justement, dans sa version de 2011, des changements d'utilisation considérables, y compris des démolitions-reconstructions. D'après les explications relatives à l'OAT de 2012, la démolition-reconstruction d'un bâtiment initialement habité de manière temporaire entraîne une modification importante de son utilisation, de même que l'installation d'un chauffage dans une construction jusque-là non chauffée ou le raccordement au réseau électrique d'une construction précédemment non accordée. Dans ces circonstances, on ne comprend pas bien pourquoi les bâtiments en question n'ont pas été exclus du champ d'application de l'art. 24c al. 3 LAT, d'autant qu'ils bénéficient toujours de la garantie de la situation acquise conférée par l'art. 26 de la Constitution fédérale de la Confédération suisse du 18 avril 1999 (Cst. - RS 101). Quoi qu'il en soit, les bâtiments habités de manière temporaire ne sauraient être réaffectés, au titre de l'art. 24c LAT, à un usage d'habitation permanent, car il s'agirait là d'un changement complet d'affectation et sans doute aussi d'une « modification importante de leur utilisation » (Rudolf MUGGLI, op. cit., ad. art. 24c LAT n. 33).</w:t>
      </w:r>
    </w:p>
    <w:p>
      <w:r>
        <w:t>d. Selon le rapport explicatif établi par l'ARE en octobre 2012 relatif à la révision partielle de l'OAT, la let. c de l'art. 42 al. 3 OAT est complètement nouvelle. Le projet mis en consultation a déjà souligné l’importance particulière de cette disposition sur les bâtiments initialement habités ou habitables en été. Dans son rapport du 22 août 2011, la commission de l’environnement, de l’aménagement du territoire et de l’énergie du Conseil national avait déjà relevé le problème de ces bâtiments habités de manière temporaire pour les besoins de l’agriculture. L’importance de cette thématique a également été soulignée au cours des débats parlementaires. En tant que rapporteur de la Commission, le conseiller aux États Ivo BISCHOFBERGER a expressément rappelé qu’il était indispensable de garantir que les bâtiments habités de manière temporaire, entrant dans le champ d’application de l’art. 24c LAT, ne puissent pas être transformés en habitations permanentes. Il est tenu compte de cette exigence par l’ajout à la let. c</w:t>
      </w:r>
    </w:p>
    <w:p>
      <w:r>
        <w:t>- 20/24 - A/3107/2016 d’un nouveau critère précisant que les travaux de transformation entraînant une modification importante de l’utilisation ne permettent pas de respecter l’identité de la construction. Cette formulation générale doit permettre aux autorités chargées des autorisations de développer avec l’expérience une pratique appropriée. Compte tenu des résultats de la consultation, le champ d’application de la let. c est expressément limité aux bâtiments habités initialement de manière temporaire. Les maisons d’habitation habitées en permanence érigées selon le droit antérieur ne sont ainsi pas régies par cette disposition. Les résidences secondaires érigées selon le droit antérieur et initialement habitées également en hiver et qui, par conséquent, n’étaient pas habitées en permanence, ne sont pas expressément exclues du champ d’application. Le standing déjà élevé des constructions antérieures à 1972 bénéficiant de la garantie de la situation acquise peut être maintenu et même – dans une certaine mesure – amélioré dans le cadre du respect de l'identité du bâtiment.</w:t>
      </w:r>
    </w:p>
    <w:p>
      <w:r>
        <w:t>En règle générale, la démolition-reconstruction d’un bâtiment initialement habité seulement de manière temporaire devrait conduire à des modifications importantes de l’utilisation. Il en va de même lorsqu'il s’agit d’installer un chauffage dans un bâtiment principalement non chauffé. De même le raccordement d’un bâtiment à l’origine non raccordé au réseau électrique implique des possibilités quasiment illimitées de nouvelles utilisations qui en règle générale ne seraient plus compatibles avec le critère prévu à la let. c (rapport explicatif de l'ARE relatif à la révision partielle de l'OAT publié, octobre 2012, p. 10). 6)</w:t>
      </w:r>
    </w:p>
    <w:p>
      <w:r>
        <w:t>En l'espèce, il n'est pas contesté que le projet respecte les critères quantitatifs et qualitatifs de l'art. 42 al. 3 let. a et b OAT.</w:t>
      </w:r>
    </w:p>
    <w:p>
      <w:r>
        <w:t>Selon l'arrêt du Tribunal fédéral 1C_118/2018 précité et dans la mesure où l'on ne peut retenir avec certitude qu'une affectation en habitation permanente a été autorisée à l'origine, compte tenu du dossier DD 3______, la question de l'usage effectif du bâtiment est déterminante quant à la question du respect de l'identité du bâtiment au sens de l'art. 42 al. 1 OAT (consid. 2.6).</w:t>
      </w:r>
    </w:p>
    <w:p>
      <w:r>
        <w:t>S'il est vrai que la maison est déjà dotée des équipements principaux permettant son habitation (chambre à coucher, cuisine, toilettes, salle de bain) et qu'elle est notamment reliée au réseau électrique et à l'eau courante, les enquêtes diligentées par le TAPI ne permettent pas de retenir que l'habitation était occupée de façon permanente par ses acquéreurs successifs.</w:t>
      </w:r>
    </w:p>
    <w:p>
      <w:r>
        <w:t>En effet, les témoins entendus au sujet des époux G______, propriétaires de la maison avant les parents de l'intimée, n'ont pas été en mesure d'affirmer qu'ils y vivaient durant l'hiver. Deux anciens maires de la commune ont expliqué que les époux G______ ne résidaient pas dans l'habitation de façon permanente, puisqu'ils y vivaient entre six et huit mois par année selon M. E______ et qu'ils ne</w:t>
      </w:r>
    </w:p>
    <w:p>
      <w:r>
        <w:t>- 21/24 - A/3107/2016 dormaient pas dans la maison selon Mme K______. En outre et même si M. L______ ignorait si les époux G______ y vivaient l'hiver, celui-ci les a vus uniquement l'été, ce qui renforce la crédibilité des déclarations des anciens maires de la commune. Le témoignage de M. H______ qui, pour sa part, a expliqué avoir livré le courrier aux époux G______ autant l'hiver que l'été ne permet pas à lui seul de renverser ce qui vient d'être dit, dans la mesure où il aidait uniquement de temps en temps son propre père, buraliste, dans cette tâche.</w:t>
      </w:r>
    </w:p>
    <w:p>
      <w:r>
        <w:t>Le témoignage du fils, frère de l'intimée, quant aux habitudes de leurs parents, est clair. Ils n'ont jamais quitté l'appartement familial au chemin D______ à Chêne-Bougeries. La famille passait à A______ uniquement les week-ends et les vacances lorsqu'il était enfant. La famille B______ n'a en outre jamais pensé à déménager dans cette maison, ce qui tient déjà à son exiguïté pour une famille de quatre personnes. Les autres témoins entendus par le TAPI ne disent pas autre chose. M. J______, concierge de l'école située proche de la maison, a confirmé que les époux B______ n'y dormaient pas, et lui demandaient même de « jeter un œil » sur leur maison lorsqu'il fermait la salle communale les soirs de semaine. Il ne rencontrait quasiment pas les parents de l'intimée en hiver, déclaration qui rejoint celle du frère de cette dernière. Selon Mme K______, ancienne maire de la commune, les époux B______ ne dormaient pas dans la maison, ce qui est aussi le sens du courrier de Mme I______ du 29 octobre 2016. Cette dernière et la mère de l'intimée se voyaient à A______ tous les jours pendant la bonne saison. Même malade, la mère de l'intimée y venait encore, ce qui démontre bien qu'elle vivait, respectivement dormait, à un autre endroit.</w:t>
      </w:r>
    </w:p>
    <w:p>
      <w:r>
        <w:t>L'attestation de domiciliation à A______ de l'OCPM du 6 janvier 2016 concernant la mère de l'intimée ne constitue qu'un indice isolé et ne saurait à lui seul renverser les éléments dégagés par les témoignages détaillés ci-dessus.</w:t>
      </w:r>
    </w:p>
    <w:p>
      <w:r>
        <w:t>En outre et comme le précise la doctrine précitée, le coût des travaux doit être pris en considération dans le cadre de l'examen global. Or, force est de constater qu'il est en l'espèce important, puisqu'il s'élève à CHF 520'000.-. Les travaux visent la réfection du toit, la pose de panneaux solaires, la démolition de certains murs intérieurs et un léger agrandissement de la SBPu. Au terme desdits travaux, l'état postérieur ne serait ainsi à aucun égard « le même » qu'avant. En effet, outre la démolition de certains murs, force est de constater que le but de ces travaux est de rendre habitable la maison à l'année, chose qui n'est pas envisageable actuellement compte tenu notamment de l'absence d'un chauffage central dont la cuve de mazout a été retirée « il y a quelque temps » selon un courrier de l'architecte de l'intimée du 26 juin 2015. Sur ce point, le frère de l'intimée a d'ailleurs expliqué que la famille disposait de radiateurs d'appoint (infra-rouge) permettant d'avoir chaud lorsqu'il leur arrivait d'y dormir l'hiver. Il est dès lors douteux que le chauffage central fût véritablement fonctionnel au</w:t>
      </w:r>
    </w:p>
    <w:p>
      <w:r>
        <w:t>- 22/24 - A/3107/2016 1er juillet 1972, date déterminante, la présence d'une cheminée n'étant au demeurant pas suffisante pour l'attester.</w:t>
      </w:r>
    </w:p>
    <w:p>
      <w:r>
        <w:t>Au vu de ces éléments, il doit être retenu que les travaux de transformation envisagés entraînent une modification importante de l'utilisation de la maison. Ils ne respectent ainsi pas l'identité de la construction et ne peuvent donc pas être autorisés en vertu de l'art. 24c LAT et 42 al. 1 et 3 let. c OAT.</w:t>
      </w:r>
    </w:p>
    <w:p>
      <w:r>
        <w:t>Par ailleurs et selon la jurisprudence du Tribunal fédéral (1C_347/2014 du</w:t>
      </w:r>
    </w:p>
    <w:p>
      <w:r>
        <w:rPr>
          <w:b/>
        </w:rPr>
        <w:t>E. 16</w:t>
      </w:r>
    </w:p>
    <w:p>
      <w:r>
        <w:t>janvier 2015 consid. 3.5), les possibilités offertes par l'art. 24c LAT ne peuvent être utilisées qu'une seule fois. Or, des travaux sur la maison fondés sur l'art. 24c LAT ont déjà eu lieu, à savoir la démolition et la reconstruction de la terrasse extérieure (DD 5______), pour lesquelles une excavation particulièrement importante a été réalisée (JTAPI/68/2020 précité). Il n'est dès lors pas exclu que les possibilités offertes par l'art. 24c LAT aient déjà été épuisées par l'exécution de ces travaux.</w:t>
      </w:r>
    </w:p>
    <w:p>
      <w:r>
        <w:t>Enfin, l'intimée ne peut se prévaloir d'une violation du principe de l'égalité de traitement (art. 8 Cst.), dans la mesure ou même dans le cas où une inégalité de traitement aurait été démontrée, il n'y a en principe pas d'égalité dans l'illégalité (arrêt du Tribunal fédéral 8C_107/2019 du 4 juin 2019 consid. 4.3 ; ATA/508/2020 du 26 mai 2020 consid. 6c). Il existe en outre un intérêt public particulièrement important à l'application du droit, qui découle des principes et buts de la LAT. Il s'agit du principe fondamental en matière d'aménagement du territoire visant la séparation des zones constructibles et des zones inconstructibles (art. 1 al. 1 LAT ; arrêt du Tribunal fédéral 1C_318/2013 du 10 décembre 2013 consid. 3.2 ; ATA/245/2016 du 15 mars 2016 consid. 7b ; Rudolf MUGGLI, op. cit., ad Remarques préliminaires relatives aux articles 24 à 24d et 37a n. 17). Contrairement aux zones à bâtir, la zone agricole est une zone inconstructible par principe (art. 16 al. 1 LAT ; Alexander RUCH et Rudolf MUGGLI, op. cit., ad art. 16 n. 13 et ss).</w:t>
      </w:r>
    </w:p>
    <w:p>
      <w:r>
        <w:t>Au vu de ce qui précède, le recours de la commune doit être admis. Le jugement querellé ainsi que la décision du département DD 4______ du 10 août 2016 seront annulés. 7)</w:t>
      </w:r>
    </w:p>
    <w:p>
      <w:r>
        <w:t>Vu l'issue du litige, un émolument de CHF 1'500.- sera mis à la charge de l'intimée, qui succombe (art. 87 al. 1 LPA). Une indemnité de procédure de CHF 1'500.- sera allouée à la commune, conformément à la jurisprudence constante de la chambre administrative, pour une commune de moins de dix mille habitants qui a dû recourir aux services d'un mandataire (ATA/588/2017 du 23 mai 2017 consid. 7 et les références citées). Une moitié sera mise à la charge de l'intimée et l'autre à celle de l'État (département du territoire) (art. 87 al. 2 LPA).</w:t>
      </w:r>
    </w:p>
    <w:p>
      <w:r>
        <w:t>- 23/24 - A/3107/2016</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