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ATA/723/2013 vom 29. Oktober 2013</w:t>
      </w:r>
    </w:p>
    <w:p>
      <w:r>
        <w:t>GE Cour de justice, 2013-10-29, FR</w:t>
      </w:r>
    </w:p>
    <w:p>
      <w:r>
        <w:rPr>
          <w:b/>
        </w:rPr>
        <w:t xml:space="preserve">Quelle: </w:t>
      </w:r>
      <w:r>
        <w:t>https://mcp.opencaselaw.ch/entscheid/ge_gerichte_ATA_723_2013</w:t>
      </w:r>
    </w:p>
    <w:p>
      <w:r>
        <w:t>FR: GE_GERICHTE ATA/723/2013 du 29 octobre 2013</w:t>
      </w:r>
    </w:p>
    <w:p>
      <w:r>
        <w:t>IT: GE_GERICHTE ATA/723/2013 del 29 ottobre 2013</w:t>
      </w:r>
    </w:p>
    <w:p>
      <w:pPr>
        <w:pStyle w:val="Heading2"/>
      </w:pPr>
      <w:r>
        <w:t>Erwägungen</w:t>
      </w:r>
    </w:p>
    <w:p>
      <w:r>
        <w:rPr>
          <w:b/>
        </w:rPr>
        <w:t>E. 12</w:t>
      </w:r>
    </w:p>
    <w:p>
      <w:r>
        <w:t>septembre 1985 - LPA - E 5 10). 2)</w:t>
      </w:r>
    </w:p>
    <w:p>
      <w:r>
        <w:t>Le recourant sollicite l'audition du médecin psychiatre en charge de son suivi sur le plan psychologique.</w:t>
      </w:r>
    </w:p>
    <w:p>
      <w:r>
        <w:t>a. Selon la jurisprudence fondée sur l'art. 29 al. 2 de la Constitution fédérale de la Confédération suisse du 18 avril 1999 (Cst. - RS 101), le droit d’être entendu</w:t>
      </w:r>
    </w:p>
    <w:p>
      <w:r>
        <w:t>- 4/7 - A/3039/2013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ATA/755/2012 du 6 novembre 2012 ; ATA/301/2012 du</w:t>
      </w:r>
    </w:p>
    <w:p>
      <w:r>
        <w:rPr>
          <w:b/>
        </w:rPr>
        <w:t>E. 15</w:t>
      </w:r>
    </w:p>
    <w:p>
      <w:r>
        <w:t>mai 2012).</w:t>
      </w:r>
    </w:p>
    <w:p>
      <w:r>
        <w:t>b. En l’espèce, le recourant a eu l’occasion de se déterminer par écrit devant la juridiction de céans. Le dossier étant complet et comportant notamment le rapport d'expertise psychiatrique rendu dans le cadre de la procédure pénale, la chambre administrative dispose des éléments nécessaires pour statuer sans donner suite à la demande d'audition présentée par l’intéressé. 3) a. L'objet de la présente procédure est le placement de M. M______ en régime de sécurité renforcée pour une durée de six mois, à savoir du 4 septembre 2013 au 3 mars 2014.</w:t>
      </w:r>
    </w:p>
    <w:p>
      <w:r>
        <w:t>b. Selon l'art. 50 al. 1 du règlement sur le régime intérieur de la prison et le statut des personnes incarcérées du 30 septembre 1985 (RRIP - F 1 50.04), la détention en commun peut être interdite si elle présente des inconvénients ou des risques, notamment pour ce qui concerne la sauvegarde de la sécurité collective. La mesure de mise en régime de sécurité renforcée permet de réduire les risques de troubles au sein de la prison. Cette mesure figure dans le titre « règles particulières » applicables aux prévenus ou aux condamnés. Elle constitue une exception au régime normal (art. 49 RRIP) et ne figure pas dans la liste exhaustive des sanctions énoncées à l'art. 47 al. 3 RRIP.</w:t>
      </w:r>
    </w:p>
    <w:p>
      <w:r>
        <w:t>c. Il résulte clairement de ces dispositions que le placement en régime de sécurité renforcée ne constitue pas une sanction (L. HUBER, Disziplinarmassnahmen im Strafvollzug, Basler Studien zur Rechtswissenschaft, Band 46, 1995, p. 22 et 23). Il s'agit d'une décision au sens de l'art. 4 LPA, susceptible de recours auprès de la chambre administrative (ATA/188/2011 du</w:t>
      </w:r>
    </w:p>
    <w:p>
      <w:r>
        <w:t>- 5/7 - A/3039/2013 22 mars 2011 ; ATA/533/2008 au 28 octobre 2008). Dès lors, la chambre de céans est compétente pour juger la présente affaire.</w:t>
      </w:r>
    </w:p>
    <w:p>
      <w:r>
        <w:t>d.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 TANQUEREL, Manuel de droit administratif, 2011, p. 187). 4)</w:t>
      </w:r>
    </w:p>
    <w:p>
      <w:r>
        <w:t>En l'espèce, depuis son incarcération à la prison de Champ-Dollon en septembre 2010, le recourant a, par son comportement, violé à de nombreuses reprises les interdictions de l'art. 45 RRIP, ce qu'il ne conteste pas.</w:t>
      </w:r>
    </w:p>
    <w:p>
      <w:r>
        <w:t>Compte tenu de l'ensemble des circonstances et du comportement général du recourant, il y a lieu d'admettre que ses agissements mettent en péril la sécurité de la prison et troublent l'ordre et la tranquillité de l'établissement. Cela étant, face à l'intérêt privé incontestable du recourant à entretenir des relations sociales plus denses avec ses codétenus dans le cadre du régime ordinaire de la détention, l'intérêt public à la sécurité, à l'ordre et à la tranquillité de la prison ne peut que primer. Cette appréciation ne peut être modifiée par les éléments mis en avant par le recourant, ressortant en particulier de l'expertise psychiatrique. Cette dernière conclut sans équivoque que le traitement que doit suivre le recourant peut être administré en milieu carcéral.</w:t>
      </w:r>
    </w:p>
    <w:p>
      <w:r>
        <w:t>La décision litigieuse est ainsi justifiée. En prononçant le placement du recourant en régime de sécurité renforcée pour une durée de six mois, la direction de la prison n'a pas outrepassé son pouvoir d'appréciation, ni violé les droits fondamentaux du recourant. 5.</w:t>
      </w:r>
    </w:p>
    <w:p>
      <w:r>
        <w:t>Par conséquent, le recours sera rejeté et la décision attaquée confirmée. Le prononcé du présent arrêt rend la demande de restitution de l'effet suspensif sans objet.</w:t>
      </w:r>
    </w:p>
    <w:p>
      <w:r>
        <w:t>Vu la nature du litige et son issue, aucun émolument ne sera perçu, ni aucune indemnité de procédure allouée (art. 87 LPA ; art. 12 du règlement sur les frais, émoluments et indemnités en procédure administrative du 30 juillet 1986 - RFPA - E 5 10.03). * * * * *</w:t>
      </w:r>
    </w:p>
    <w:p>
      <w:r>
        <w:t>- 6/7 - A/3039/2013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