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ATA/723/2010 vom 19. Oktober 2010</w:t>
      </w:r>
    </w:p>
    <w:p>
      <w:r>
        <w:t>GE Cour de justice, 2010-10-19, FR</w:t>
      </w:r>
    </w:p>
    <w:p>
      <w:r>
        <w:rPr>
          <w:b/>
        </w:rPr>
        <w:t xml:space="preserve">Quelle: </w:t>
      </w:r>
      <w:r>
        <w:t>https://mcp.opencaselaw.ch/entscheid/ge_gerichte_ATA_723_2010</w:t>
      </w:r>
    </w:p>
    <w:p>
      <w:r>
        <w:t>FR: GE_GERICHTE ATA/723/2010 du 19 octobre 2010</w:t>
      </w:r>
    </w:p>
    <w:p>
      <w:r>
        <w:t>IT: GE_GERICHTE ATA/723/2010 del 19 ottobre 2010</w:t>
      </w:r>
    </w:p>
    <w:p>
      <w:pPr>
        <w:pStyle w:val="Heading2"/>
      </w:pPr>
      <w:r>
        <w:t>Erwägungen</w:t>
      </w:r>
    </w:p>
    <w:p>
      <w:r>
        <w:rPr>
          <w:b/>
        </w:rPr>
        <w:t>E. 9</w:t>
      </w:r>
    </w:p>
    <w:p>
      <w:r>
        <w:t>Au vu de l'ensemble des circonstances du cas d'espèce et bien que la procédure suivie par le DCTI soit entachée de nombreuses informalités, notamment celle du non respect de l'obligation de la publication des dérogations et celle de l'octroi d'une dérogation sans que le préavis nécessaire ne soit requis au préalable, il n'y a pas lieu de renvoyer le dossier à la commission. En effet, les intimés ont pu valablement faire valoir leurs droits et les conditions de la délivrance de l'autorisation de construire sont finalement, à ce jour, réunies.</w:t>
      </w:r>
    </w:p>
    <w:p>
      <w:r>
        <w:t>En conséquence, les recours seront admis et par économie de procédure, l'autorisation de construire rétablie.</w:t>
      </w:r>
    </w:p>
    <w:p>
      <w:r>
        <w:rPr>
          <w:b/>
        </w:rPr>
        <w:t>E. 10</w:t>
      </w:r>
    </w:p>
    <w:p>
      <w:r>
        <w:t>Dans la fixation de l'émolument, il sera tenu compte du fait qu'au moment de la délivrance de l'autorisation de construire par le DCTI, celle-ci ne remplissait pas les conditions légales, ce que la commission n'a pu que constater. En conséquence, un émolument de CHF 1'500.- sera mis à la charge du DCTI. Aucune indemnité de procédure ne sera allouée, compte tenu des mêmes circonstances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