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ATA/722/2012 vom 30. Oktober 2012</w:t>
      </w:r>
    </w:p>
    <w:p>
      <w:r>
        <w:t>GE Cour de justice, 2012-10-30, FR</w:t>
      </w:r>
    </w:p>
    <w:p>
      <w:r>
        <w:rPr>
          <w:b/>
        </w:rPr>
        <w:t xml:space="preserve">Quelle: </w:t>
      </w:r>
      <w:r>
        <w:t>https://mcp.opencaselaw.ch/entscheid/ge_gerichte_ATA_722_2012</w:t>
      </w:r>
    </w:p>
    <w:p>
      <w:r>
        <w:t>FR: GE_GERICHTE ATA/722/2012 du 30 octobre 2012</w:t>
      </w:r>
    </w:p>
    <w:p>
      <w:r>
        <w:t>IT: GE_GERICHTE ATA/722/2012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ou pour constatation inexacte ou incomplète des faits pertinents. En revanche, celle-ci n’a pas compétence pour apprécier l’opportunité de la décision attaquée (art. 61 al. 2 LPA).</w:t>
      </w:r>
    </w:p>
    <w:p>
      <w:r>
        <w:rPr>
          <w:b/>
        </w:rPr>
        <w:t>E. 3</w:t>
      </w:r>
    </w:p>
    <w:p>
      <w:r>
        <w:t>Les recourants se plaignent tout d’abord d’une violation du droit d’être entendu. Pour eux, le TAPI s’est en grande partie fondé sur le rapport d’enquête menée au Kosovo par l’ambassade en février 2009, mais cette enquête ne permet pas de se faire une représentation correcte de la réalité. Les recourants expliquent n’avoir en outre jamais eu accès au rapport sur lequel ils n’ont jamais pu se déterminer.</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w:t>
      </w:r>
    </w:p>
    <w:p>
      <w:r>
        <w:t>- 13/21 - A/1610/2009 d’en prendre connaissance et de se déterminer à leur propos (ATF 135 II 286 consid. 5.1.p. 293 ; Arrêts du Tribunal fédéral 8C_866/2010 du 12 mars 2012 c. 4.1.1 ; 8C_643/2011 du 9 mars 2012 c. 4.3 et réf. citées ; 1C_161/2010 du 21 octobre 2010 consid. 2.1 ; 5A_150/2010 du 20 mai 2010 consid. 4.3 ; ATA/276/2012 du 8 mai 2012 consid. 2 et les arrêts cités).</w:t>
      </w:r>
    </w:p>
    <w:p>
      <w:r>
        <w:t>Selon le principe de la libre appréciation des preuves, qui s’applique en procédure administrative, le juge apprécie librement les preuves, sans être lié par des règles formelles, en procédant à une appréciation complète et rigoureuse des pièces. Dès lors, le juge doit examiner de manière objective tous les moyens de preuves, quelle qu’en soit la provenance, puis décider si le dossier à disposition permet de porter un jugement valable sur le droit litigieux (ATA/142/2011 du 8 mars 2011 consid. 9 ; ATA/176/2008 du 15 avril 2008 consid. 5).</w:t>
      </w:r>
    </w:p>
    <w:p>
      <w:r>
        <w:t>b. Une décision entreprise pour violation du droit d’être entendu n’est pas nulle mais annulable (ATF 136 V 117 ; 133 III 235 consid. 5.3 p. 250 ; Arrêts du Tribunal fédéral 2D_5/2012 du 19 avril 2012 consid. 2.3 ; 1C_568/2011 du 13 février 2012 consid. 3 ; ATA/862/2010 du 7 décembre 2010 consid 2 et arrêts cités). En effet,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 Arrêt du Tribunal fédéral 8C_643/2011 du 9 mars 2012 consid. 4.5 ; ATA/386/2011 du 21 juin 2011 consid. 6).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122 I 97 consid. 3 p. 99 ; 116 Ia 215 consid. 2c et l'arrêt cité).</w:t>
      </w:r>
    </w:p>
    <w:p>
      <w:r>
        <w:t>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2C_306/2012 du 18 juillet 2012 ; 1C_572/2011 du 3 avril 2012 consid. 2.1 et références citées ; 1C_161/2010 du 21 octobre 2010 consid. 2.1 ; 8C_104/2010 du 29 septembre 2010 consid. 3.2 ; 5A_150/2010 du 20 mai 2010 consid. 4.3 ; 1C_104/2010 du 29 avril 2010 consid. 2 ; ATA/435/2010 du 22 juin 2010 consid. 2 ; ATA/192/2012 du 3 avril 2012 ;</w:t>
      </w:r>
    </w:p>
    <w:p>
      <w:r>
        <w:t>- 14/21 - A/1610/2009 ATA/163/2012 du 27 mars 2012 ; ATA/710/2011 du 22 novembre 2011 ; ; P. MOOR/E. POLTIER, Droit administratif, vol. 2, 3ème éd., 2011, ch. 2.2.7.4 p. 322 et 2.3.3.1 p. 362 ; T. TANQUEREL, Manuel de droit administratif, 2011, p. 516s, n. 1553s).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ATA/301/2012 du 15 mai 2012).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(ATA/301/2012 précité ; ATA/711/2011 du 22 novembre 2011).</w:t>
      </w:r>
    </w:p>
    <w:p>
      <w:r>
        <w:t>c. Tel qu'indiqué au considérant 2 ci-dessus, la chambre de céans ne peut revoir l'opportunité de la décision. Sous cet angle, elle dispose du même pouvoir d'examen que le TAPI. La violation invoquée par le recourant peut donc, si nécessaire, être réparée à ce stade.</w:t>
      </w:r>
    </w:p>
    <w:p>
      <w:r>
        <w:t>S’il est vrai que l’OCP n’a pas transmis le rapport établi par l’ambassade à M. S______ B______ avant de prononcer sa décision du 7 avril 2009, il ressort du dossier que les recourants ont eu l’occasion de se prononcer sur son contenu tant devant le TAPI que devant la chambre de céans. Le contenu de ce rapport, comme ses conclusions, leur était connu au moment où ils ont déposé leur recours devant le TAPI et rien ne les empêchait ou leur avocat de consulter le dossier s’ils l’avaient jugé utile. Ils ont ensuite largement pu commenter et critiquer ce rapport tant sur la forme que sur le fond. Pour le reste, la chambre de céans relève que le dossier est suffisamment complet pour lui permettre de porter un jugement valable et pour se prononcer en toute connaissance de cause.</w:t>
      </w:r>
    </w:p>
    <w:p>
      <w:r>
        <w:t>Ce grief sera donc écarté.</w:t>
      </w:r>
    </w:p>
    <w:p>
      <w:r>
        <w:rPr>
          <w:b/>
        </w:rPr>
        <w:t>E. 4</w:t>
      </w:r>
    </w:p>
    <w:p>
      <w:r>
        <w:t>Les recourants se plaignent d’une violation de l’art. 3 annexe 1 ALCP.</w:t>
      </w:r>
    </w:p>
    <w:p>
      <w:r>
        <w:rPr>
          <w:b/>
        </w:rPr>
        <w:t>E. 5</w:t>
      </w:r>
    </w:p>
    <w:p>
      <w:r>
        <w:t>Les demandes qui ont conduit à la décision litigieuse ont été déposées après le 1er janvier 2008 de sorte que le présent litige est soumis à la loi fédérale sur les étrangers du 16 décembre 2005 (LEtr ; RS 142.20) (art. 126 al. 1 LEtr). La LEtr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ALCP n’en dispose pas autrement ou lorsque elle prévoit des dispositions plus favorables (art 2 al. 2 LEtr).</w:t>
      </w:r>
    </w:p>
    <w:p>
      <w:r>
        <w:t>- 15/21 - A/1610/2009</w:t>
      </w:r>
    </w:p>
    <w:p>
      <w:r>
        <w:rPr>
          <w:b/>
        </w:rPr>
        <w:t>E. 6</w:t>
      </w:r>
    </w:p>
    <w:p>
      <w:r>
        <w:t>A teneur de l’art 7 let. d ALCP, les parties contractantes règlent, conformément à l’annexe I, le droit au séjour des membres de la famille, quelle que soit leur nationalité.</w:t>
      </w:r>
    </w:p>
    <w:p>
      <w:r>
        <w:t>L’annexe I prévoit que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(art. 3 al. 1 annexe I ALCP). Son conjoint et leurs descendants de moins de 21 ans ou à charge sont considérés comme membres de la famille, quelle que soit leur nationalité (art. 3 al.2 let. a annexe I ALCP).</w:t>
      </w:r>
    </w:p>
    <w:p>
      <w:r>
        <w:t>Les droits octroyés par les dispositions de l’ALCP ne peuvent être limités que par des mesures justifiées par des raisons d’ordre public, de sécurité publique et de santé publique (art. 5 al. 1 annexe I ALCP).</w:t>
      </w:r>
    </w:p>
    <w:p>
      <w:r>
        <w:rPr>
          <w:b/>
        </w:rPr>
        <w:t>E. 7</w:t>
      </w:r>
    </w:p>
    <w:p>
      <w:r>
        <w:t>Comme le relèvent les recourants et comme l’a mentionné le TAPI dans son jugement du 4 octobre 2011, le TF a jugé, dans un arrêt du 5 janvier 2010, que le droit au regroupement familial contenu à l’art. 3 al. 2 let. a annexe I ALCP s’étendait aussi aux beaux-enfants ayant la nationalité d’un Etat tiers (ATF 136 II 65 ; RDAF 2011 p. 499). Dans ce même arrêt, le TF a précisé que le droit au regroupement familial ne pouvait toutefois être exercé sans réserve. Il est soumis aux conditions suivantes : a. le conjoint ressortissant de l’UE ou de l’AELE qui permet l’applicabilité de l’ALCP doit apporter son soutien au regroupement familial de ses beaux-enfants ; b. l’existence préalable à la requête d’une communauté familiale effective d’une certaine intensité (en allemand dans l’ATF précité « mit minimaler Intensität ») ; c. sur le plan civil, en présence d’enfants mineurs, le conjoint qui sollicite le regroupement familial doit, soit disposer de l’autorité parentale, soit, si l’autorité parentale est partagée, avoir l’accord de l’autre parent ; d. la famille doit disposer d’un logement tel que défini à l’art. 3 al. 1 annexe I ALCP ; e. l’absence de raisons d’ordre public, de sécurité publique et de santé publique au sens de l’article 5 al. 1 annexe I ALCP ;</w:t>
      </w:r>
    </w:p>
    <w:p>
      <w:r>
        <w:t>- 16/21 - A/1610/2009 f. le regroupement familial ne doit pas apparaître comme manifestement contraire à l’intérêt supérieur de l’enfant et respecter la convention relative aux droits de l’enfant du 20 novembre 1989 (RS 0.107).</w:t>
      </w:r>
    </w:p>
    <w:p>
      <w:r>
        <w:t>Le TF réserve enfin les cas d’abus de droit, en particulier au sens de l’art. 35 de la directive 2004/38/CE du Parlement européen et du Conseil du 29 avril 2004, lequel prévoit que les Etats membres peuvent adopter les mesures nécessaires pour refuser, annuler ou retirer tout droit conféré (…) en cas d’abus de droit ou de fraude, tels que les mariages de complaisance.</w:t>
      </w:r>
    </w:p>
    <w:p>
      <w:r>
        <w:rPr>
          <w:b/>
        </w:rPr>
        <w:t>E. 8</w:t>
      </w:r>
    </w:p>
    <w:p>
      <w:r>
        <w:t>Dans le cas d’espèce, M. S______ B______ est ressortissant d’un Etat tiers, le Kosovo. Au bénéfice d’un permis de séjour, il est l’époux d’une ressortissante espagnole elle-même au bénéfice d’une autorisation d’établissement en Suisse. Les enfants de M. S______ B______ candidats au regroupement familial sont tous âgés de moins de 21 ans et possèdent la nationalité kosovare.</w:t>
      </w:r>
    </w:p>
    <w:p>
      <w:r>
        <w:t>a. A la lumière de la jurisprudence du TF citée ci-dessus, la chambre de céans relève tout d’abord que Mme E______ B______ a donné son accord au regroupement familial.</w:t>
      </w:r>
    </w:p>
    <w:p>
      <w:r>
        <w:t>b. Par ailleurs, M. S______ B______ a pu démontrer qu’il avait conservé des liens et des contacts avec ses enfants restés au pays. Même si ces contacts ont été limités du fait de la distance et, pendant une période, du fait du statut de M. S______ B______ en Suisse, les pièces versées au dossier ne permettent pas de douter qu’il ait gardé une relation d’une certaine intensité ou minimale avec sa famille au Kosovo. A ce propos, le TAPI a eu tort de retenir l’absence d’une relation prépondérante, cette exigence n’étant pas posée par la jurisprudence du TF.</w:t>
      </w:r>
    </w:p>
    <w:p>
      <w:r>
        <w:t>c. Il n’est pas contesté que M. S______ B______ dispose de l’autorité parentale et de la garde des enfants comme en atteste le jugement du tribunal du district de Gjilan du 20 mars 2007.</w:t>
      </w:r>
    </w:p>
    <w:p>
      <w:r>
        <w:t>d. S’agissant du logement, selon l’avenant au bail du 20 mars 2008, M. S______ B______ et son épouse vivent dans un appartement de 4 pièces. A teneur des déclarations de l’intéressé devant le TAPI le 4 octobre 2011, il s’agirait en fait d’un 4 pièces et demi disposant de deux chambres et d’une demie pièce avec fenêtre. Dans ses observations, l’OCP mentionne également un quatre pièces et demi. Cette question pourra rester sans réponse. Les époux ont en effet prévu de permettre aux deux filles et aux deux garçons de disposer de chambres séparées et il n’y a rien d’anormal, à Genève, à ce qu’une famille de six personnes vive dans des conditions identiques. Refusé la demande pour ce motif reviendrait à l’évidence à créer une discrimination, aucune règle de cet ordre n’existant à l’égard des ressortissants suisses.</w:t>
      </w:r>
    </w:p>
    <w:p>
      <w:r>
        <w:t>- 17/21 - A/1610/2009</w:t>
      </w:r>
    </w:p>
    <w:p>
      <w:r>
        <w:t>e. Aucune raison d’ordre public, de sécurité publique ou de santé publique ne s’oppose à la venue des enfants en Suisse et le regroupement familial n’apparaît pas comme manifestement contraire à l’intérêt des enfants. D______ B______, F______ B______ et M______ B______ ont eu l’occasion d’exprimer par écrit, en novembre 2010, leur volonté de venir vivre auprès de leur père. Compte tenu de l’évolution de la situation familiale au Kosovo, en particulier suite au décès de la grand-mère et aux problèmes de santé du grand-père, l’intérêt des enfants sera sans doute sauvegardé par leur venue en Suisse auprès de leur père même si on ne peut exclure des difficultés à quitter leur pays d’origine. Dans un arrêt rendu le 15 janvier 2010 dans le cadre de la LEtr, le TF a, à ce propos, souligné que « les autorités ne devaient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 comme une autorité tutélaire peut être amenée à le faire. Leur pouvoir d’examen est bien plutôt limité à cet égard : elles ne doivent intervenir et refuser le regroupement familial que si celui-ci est manifestement contraire à l’intérêt de l’enfant » (ATF 136 II 78 consid. 4.8). Majeur au moment du dépôt de sa seconde demande, Q______ B______ a quant à lui par cette demande manifesté sa volonté de venir vivre auprès de son père.</w:t>
      </w:r>
    </w:p>
    <w:p>
      <w:r>
        <w:t>f. Le TAPI comme l’OCP soutiennent que la demande de regroupement familial est abusive car davantage motivée par des raisons d’ordre économique que par des motifs familiaux.</w:t>
      </w:r>
    </w:p>
    <w:p>
      <w:r>
        <w:t>Tout d’abord, il est dans l’ordre des choses, sans que cela ne soit abusif, que des parents cherchent à améliorer la situation matérielle de leurs enfants.</w:t>
      </w:r>
    </w:p>
    <w:p>
      <w:r>
        <w:t>Par ailleurs, à teneur des directives de l’ODM (chiffre 10.7, version du 1er mai 2011, disponible sur http://www.bfm.admin.ch/content/dam/data/migration /rechtsgrundlagen/weisungen_und_kreisschreiben/weisungen_fza/weisungen-fza- f.pdf), il convient de s’assurer que le regroupement familial des enfants n’est pas abusif parce que demandé uniquement pour éluder les prescriptions d’admission de l’ALCP. Dans le cas d’espèce, M. S______ B______ a répondu à l’ensemble des questions posées tant par l’OCP que par le TAPI. Il a systématiquement fourni, au cours d’une longue procédure commencée en 2008, les pièces et documents traduits qui lui ont été demandés, en particulier celles qui devaient permettre de démontrer l’existence de liens entre lui et ses enfants. Au vu du dossier, il n’est pas possible de soutenir que les demandes de regroupement familial ont été déposées uniquement dans le but d’éluder l’ALCP, c’est-à-dire sans réelle volonté de constituer en Suisse une communauté familiale. L’OCP et le TAPI arrivent en réalité à la même</w:t>
      </w:r>
    </w:p>
    <w:p>
      <w:r>
        <w:t>- 18/21 - A/1610/2009 conclusion puisque, à teneur de leurs propres écritures, ils n’ont pas exclu la probable constitution d’une communauté familiale en estimant que « la demande de regroupement familial paraît d’avantage motivée par des raisons économiques (…) que par des motifs familiaux », sans jamais démontrer que ces demandes visaient uniquement à éluder les prescriptions légales.</w:t>
      </w:r>
    </w:p>
    <w:p>
      <w:r>
        <w:t>Au vu de ce qui précède, le recours sera admis et tant le jugement du TAPI que les décisions litigieuses de l’OCP qui portent atteinte à la libre circulation des personnes seront annulés. La cause sera renvoyée à l’OCP afin que la procédure d’octroi des autorisations d’entrée et des permis de séjour suive son cours. L’OCP pourra procéder dans sa compétence sans qu’il soit nécessaire de solliciter l’accord de l’ODM (art. 99 LEtr ; art. 85 al. 1 let. a de l’ordonnance relative à l'admission, au séjour et à l'exercice d'une activité lucrative du 24 octobre 2007 (OASA ; RS 142.201) ; directives de l’ODM, chiffre 1.3.1.2.3, version du 16 juillet 2012, disponible sur http://www.bfm.admin.ch/content/dam /data/migration/rechtsgrundlagen/weisungen_und_kreisschreiben/weisungen_ausl aenderbereich/verfahren_und_zustaendigkeiten/1-verfahren-zustaendigkeiten- f.pdf). Les enfants étaient en effet tous mineurs au moment du dépôt de leur demande de regroupement familial, ce moment étant déterminant en l’espèce (ATF 136 II 497, consid. 3.4 ss). Il en va de même pour Q______ B______ qui a déposé sa première demande de regroupement familial le 25 juin 2008 alors qu’il avait 16 ans.</w:t>
      </w:r>
    </w:p>
    <w:p>
      <w:r>
        <w:t>Aucun émolument ne sera mis à la charge des recourants, ceux-ci ayant gain de cause (art. 87 al. 1 LPA). Vu l’issue du litige et la conclusion des recourants à cet égard, une indemnité de procédure de CHF 1'000.- leur sera allouée,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