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ATA/721/2018 vom 10. Juli 2018</w:t>
      </w:r>
    </w:p>
    <w:p>
      <w:r>
        <w:t>GE Cour de justice, 2018-07-10, FR</w:t>
      </w:r>
    </w:p>
    <w:p>
      <w:r>
        <w:rPr>
          <w:b/>
        </w:rPr>
        <w:t xml:space="preserve">Quelle: </w:t>
      </w:r>
      <w:r>
        <w:t>https://mcp.opencaselaw.ch/entscheid/ge_gerichte_ATA_721_2018</w:t>
      </w:r>
    </w:p>
    <w:p>
      <w:r>
        <w:t>FR: GE_GERICHTE ATA/721/2018 du 10 juillet 2018</w:t>
      </w:r>
    </w:p>
    <w:p>
      <w:r>
        <w:t>IT: GE_GERICHTE ATA/721/2018 del 10 luglio 2018</w:t>
      </w:r>
    </w:p>
    <w:p>
      <w:pPr>
        <w:pStyle w:val="Heading2"/>
      </w:pPr>
      <w:r>
        <w:t>Erwägungen</w:t>
      </w:r>
    </w:p>
    <w:p>
      <w:r>
        <w:rPr>
          <w:b/>
        </w:rPr>
        <w:t>E. 12</w:t>
      </w:r>
    </w:p>
    <w:p>
      <w:r>
        <w:t>septembre 1985 - LPA - E 5 10). 2) a. La loi fédérale sur les étrangers du 16 décembre 2005 (LEtr - RS 142.20) et ses ordonnances d'exécution, en particulier l’ordonnance relative à l’admission, au</w:t>
      </w:r>
    </w:p>
    <w:p>
      <w:r>
        <w:t>- 5/10 - A/24/2017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en l’espèce.</w:t>
      </w:r>
    </w:p>
    <w:p>
      <w:r>
        <w:t>b. Après dissolution de la famille, le droit du conjoint d’un ressortissant suisse à l'octroi d'une autorisation de séjour et à la prolongation de sa durée de validité en vertu de l’art. 42 LEtr subsiste si l'union conjugale a duré au moins trois ans et l'intégration est réussie (let. a) ou la poursuite du séjour en Suisse s'impose pour des raisons personnelles majeures (let. b ; art. 50 al. 1 LEtr). L'art. 50 LEtr ne trouve application qu'en cas d'échec définitif de la communauté conjugale (ATF 140 II 345 consid. 4 ; 140 II 129 consid. 3.5). 3) a. S'agissant de la première condition de l'art. 50 al. 1 let. a LEtr, la période minimale de trois ans de l'union conjugale commence à courir dès le début de la cohabitation effective des époux en Suisse et s'achève au moment où ceux-ci cessent de faire ménage commun (ATF 138 II 229 consid. 2 ; 136 II 113 consid. 3.3.3). Il n’est pas nécessaire d’examiner la condition de la réussite de l’intégration lorsque l’union conjugale a duré moins de trois ans, les deux conditions étant cumulatives (arrêt du Tribunal fédéral 2C_352/2014 du 18 mars 2015 consid. 4).</w:t>
      </w:r>
    </w:p>
    <w:p>
      <w:r>
        <w:t>b. En l’espèce, tant l’OCPM que le TAPI ont, à juste titre, admis que l’union conjugale liant Mme B______ et M. A______ avait duré moins de trois ans.</w:t>
      </w:r>
    </w:p>
    <w:p>
      <w:r>
        <w:t>À juste titre, le recourant indique que son ex-conjointe avait, à une certaine époque, indiqué que cette union avait subsisté jusqu’au mois de juin 2013, soit pendant trois ans et un mois.</w:t>
      </w:r>
    </w:p>
    <w:p>
      <w:r>
        <w:t>Toutefois, les explications données ultérieurement par Mme B______, selon lesquelles l’union conjugale avait cessé d’exister au moment où le recourant est parti au Brésil, au mois de décembre 2012, emporte la conviction. Ces informations données par l’intéressé à plusieurs reprises, sont cohérentes avec le fait qu’il est parti au Brésil et avec la date de conception d’C______, née le ______ 2014, dont le recourant n’a jamais soutenu qu’il pourrait être le père.</w:t>
      </w:r>
    </w:p>
    <w:p>
      <w:r>
        <w:t>Au vu de ce qui précède, la réussite de l’intégration de l’intéressé en Suisse n’a pas à être examinée. 4) a. Les raisons personnelles majeures visées à l'art. 50 al. 1 let. b LEtr sont notamment données lorsque le conjoint est victime de violence conjugale, que le mariage a été conclu en violation de la libre volonté d'un des époux ou que la réintégration sociale dans le pays de provenance semble fortement compromise (art. 50 al. 2 LEtr).</w:t>
      </w:r>
    </w:p>
    <w:p>
      <w:r>
        <w:t>- 6/10 - A/24/2017</w:t>
      </w:r>
    </w:p>
    <w:p>
      <w:r>
        <w:t>L'énumération des cas de l’art. 50 al. 2 LEtr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 2C_781/2010 du 16 février 2011 consid. 2.2).</w:t>
      </w:r>
    </w:p>
    <w:p>
      <w:r>
        <w:t>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du 4 juillet 2014 consid. 2.3).</w:t>
      </w:r>
    </w:p>
    <w:p>
      <w:r>
        <w:t>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Concernant la durée du séjour en Suisse, bien que celle-ci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w:t>
      </w:r>
    </w:p>
    <w:p>
      <w:r>
        <w:t>- 7/10 - A/24/2017 du Tribunal fédéral 2D_13/2016 du 11 mars 2016 consid. 3.2 ; ATA/203/2018 du 6 mars 2018 consid. 6d).</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d. En l’espèce, tant l’OCPM que le TAPI ont admis qu’aucune raison personnelle majeure ne justifiait la prolongation du séjour de l’intéressé en Suisse.</w:t>
      </w:r>
    </w:p>
    <w:p>
      <w:r>
        <w:t>Certes, il maîtrise le français, dispose d’un emploi stable et son comportement ne prête pas le flan à la critique.</w:t>
      </w:r>
    </w:p>
    <w:p>
      <w:r>
        <w:t>Toutefois, l’intéressé, aujourd’hui âgé de trente-quatre ans environ, a passé les vingt-cinq premières années de sa vie au Brésil et y est retourné plusieurs mois au début de l’année 2013.</w:t>
      </w:r>
    </w:p>
    <w:p>
      <w:r>
        <w:t>Les seules difficultés auxquelles il devrait faire face à son retour ne peuvent justifier la délivrance d’une autorisation de séjour, sa réintégration ne semblant pas poser de problème majeur, et cela sans prendre en compte outre mesure le fait que sa situation financière a été obérée et qu’il a dû être assisté quelques temps par l’hospice. 5)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M. A______ ne soutient pas, à juste titre, que l’exécution du renvoi serait impossible, illicite, ou ne pourrait être raisonnablement exigée au sens des principes rappelés si dessus.</w:t>
      </w:r>
    </w:p>
    <w:p>
      <w:r>
        <w:t>- 8/10 - A/24/2017 6)</w:t>
      </w:r>
    </w:p>
    <w:p>
      <w:r>
        <w:t>Dans ces circonstances, la décision de l’OCPM et le jugement du TAPI sont conformes au droit et le recours, entièrement mal fondé, sera rejeté. 7)</w:t>
      </w:r>
    </w:p>
    <w:p>
      <w:r>
        <w:t>Malgré l’issue du litige, aucun émolument ne sera perçu, le recourant étant au bénéfice de l’assistance juridique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